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53C" w:rsidRPr="003552CE" w:rsidRDefault="0042053C" w:rsidP="0042053C">
      <w:pPr>
        <w:widowControl/>
        <w:spacing w:line="480" w:lineRule="atLeast"/>
        <w:jc w:val="center"/>
        <w:rPr>
          <w:rFonts w:ascii="楷体" w:eastAsia="楷体" w:hAnsi="楷体" w:cs="宋体"/>
          <w:color w:val="FF0000"/>
          <w:kern w:val="0"/>
          <w:sz w:val="28"/>
          <w:szCs w:val="28"/>
        </w:rPr>
      </w:pPr>
      <w:bookmarkStart w:id="0" w:name="_GoBack"/>
      <w:r w:rsidRPr="003552CE">
        <w:rPr>
          <w:rFonts w:ascii="楷体" w:eastAsia="楷体" w:hAnsi="楷体" w:cs="宋体" w:hint="eastAsia"/>
          <w:b/>
          <w:bCs/>
          <w:color w:val="FF0000"/>
          <w:kern w:val="0"/>
          <w:sz w:val="28"/>
          <w:szCs w:val="28"/>
        </w:rPr>
        <w:t>国务院国有资产监督管理委员会文件</w:t>
      </w:r>
    </w:p>
    <w:p w:rsidR="0042053C" w:rsidRPr="003552CE" w:rsidRDefault="0042053C" w:rsidP="0042053C">
      <w:pPr>
        <w:widowControl/>
        <w:spacing w:line="480" w:lineRule="atLeast"/>
        <w:jc w:val="center"/>
        <w:rPr>
          <w:rFonts w:ascii="楷体" w:eastAsia="楷体" w:hAnsi="楷体" w:cs="宋体"/>
          <w:color w:val="333333"/>
          <w:kern w:val="0"/>
          <w:sz w:val="28"/>
          <w:szCs w:val="28"/>
        </w:rPr>
      </w:pPr>
      <w:r w:rsidRPr="003552CE">
        <w:rPr>
          <w:rFonts w:ascii="楷体" w:eastAsia="楷体" w:hAnsi="楷体" w:cs="宋体" w:hint="eastAsia"/>
          <w:b/>
          <w:bCs/>
          <w:color w:val="333333"/>
          <w:kern w:val="0"/>
          <w:sz w:val="28"/>
          <w:szCs w:val="28"/>
        </w:rPr>
        <w:t>国资发产权〔2010〕71号</w:t>
      </w:r>
    </w:p>
    <w:p w:rsidR="0042053C" w:rsidRPr="003552CE" w:rsidRDefault="004820B9" w:rsidP="0042053C">
      <w:pPr>
        <w:widowControl/>
        <w:spacing w:line="480" w:lineRule="atLeast"/>
        <w:jc w:val="left"/>
        <w:rPr>
          <w:rFonts w:ascii="楷体" w:eastAsia="楷体" w:hAnsi="楷体" w:cs="宋体"/>
          <w:b/>
          <w:bCs/>
          <w:kern w:val="0"/>
          <w:sz w:val="28"/>
          <w:szCs w:val="28"/>
        </w:rPr>
      </w:pPr>
      <w:r w:rsidRPr="003552CE">
        <w:rPr>
          <w:rFonts w:ascii="楷体" w:eastAsia="楷体" w:hAnsi="楷体" w:cs="宋体"/>
          <w:b/>
          <w:bCs/>
          <w:color w:val="333333"/>
          <w:kern w:val="0"/>
          <w:sz w:val="28"/>
          <w:szCs w:val="28"/>
        </w:rPr>
        <w:pict>
          <v:rect id="_x0000_i1025" style="width:0;height:1.5pt" o:hralign="center" o:hrstd="t" o:hr="t" fillcolor="#a0a0a0" stroked="f"/>
        </w:pict>
      </w:r>
    </w:p>
    <w:p w:rsidR="0042053C" w:rsidRPr="003552CE" w:rsidRDefault="0042053C" w:rsidP="0042053C">
      <w:pPr>
        <w:widowControl/>
        <w:spacing w:line="480" w:lineRule="atLeast"/>
        <w:jc w:val="center"/>
        <w:rPr>
          <w:rFonts w:ascii="楷体" w:eastAsia="楷体" w:hAnsi="楷体" w:cs="宋体"/>
          <w:kern w:val="0"/>
          <w:sz w:val="28"/>
          <w:szCs w:val="28"/>
        </w:rPr>
      </w:pPr>
      <w:r w:rsidRPr="003552CE">
        <w:rPr>
          <w:rFonts w:ascii="楷体" w:eastAsia="楷体" w:hAnsi="楷体" w:cs="宋体" w:hint="eastAsia"/>
          <w:b/>
          <w:bCs/>
          <w:color w:val="333333"/>
          <w:kern w:val="0"/>
          <w:sz w:val="28"/>
          <w:szCs w:val="28"/>
        </w:rPr>
        <w:t>关于印发《中央企业资产评估项目</w:t>
      </w:r>
      <w:r w:rsidRPr="003552CE">
        <w:rPr>
          <w:rFonts w:ascii="楷体" w:eastAsia="楷体" w:hAnsi="楷体" w:cs="宋体" w:hint="eastAsia"/>
          <w:b/>
          <w:bCs/>
          <w:color w:val="333333"/>
          <w:kern w:val="0"/>
          <w:sz w:val="28"/>
          <w:szCs w:val="28"/>
        </w:rPr>
        <w:br/>
        <w:t>核准工作指引》的通知</w:t>
      </w:r>
    </w:p>
    <w:p w:rsidR="0042053C" w:rsidRPr="003552CE" w:rsidRDefault="0042053C" w:rsidP="0042053C">
      <w:pPr>
        <w:widowControl/>
        <w:spacing w:line="480" w:lineRule="atLeast"/>
        <w:jc w:val="left"/>
        <w:rPr>
          <w:rFonts w:ascii="楷体" w:eastAsia="楷体" w:hAnsi="楷体" w:cs="宋体"/>
          <w:color w:val="333333"/>
          <w:kern w:val="0"/>
          <w:sz w:val="28"/>
          <w:szCs w:val="28"/>
        </w:rPr>
      </w:pPr>
      <w:r w:rsidRPr="003552CE">
        <w:rPr>
          <w:rFonts w:ascii="楷体" w:eastAsia="楷体" w:hAnsi="楷体" w:cs="宋体" w:hint="eastAsia"/>
          <w:color w:val="333333"/>
          <w:kern w:val="0"/>
          <w:sz w:val="28"/>
          <w:szCs w:val="28"/>
        </w:rPr>
        <w:t>各中央企业：</w:t>
      </w:r>
      <w:r w:rsidRPr="003552CE">
        <w:rPr>
          <w:rFonts w:ascii="楷体" w:eastAsia="楷体" w:hAnsi="楷体" w:cs="宋体" w:hint="eastAsia"/>
          <w:color w:val="333333"/>
          <w:kern w:val="0"/>
          <w:sz w:val="28"/>
          <w:szCs w:val="28"/>
        </w:rPr>
        <w:br/>
        <w:t xml:space="preserve">　　为进一步规范企业国有资产评估项目核准工作，提高评估核准工作效率，国资委制定了《中央企业资产评估项目核准工作指引》，现印发给你们。请遵照执行，并及时反馈工作中的有关情况和问题。</w:t>
      </w:r>
    </w:p>
    <w:p w:rsidR="0042053C" w:rsidRPr="003552CE" w:rsidRDefault="0042053C" w:rsidP="0042053C">
      <w:pPr>
        <w:widowControl/>
        <w:spacing w:line="480" w:lineRule="atLeast"/>
        <w:jc w:val="left"/>
        <w:rPr>
          <w:rFonts w:ascii="楷体" w:eastAsia="楷体" w:hAnsi="楷体" w:cs="宋体"/>
          <w:color w:val="333333"/>
          <w:kern w:val="0"/>
          <w:sz w:val="28"/>
          <w:szCs w:val="28"/>
        </w:rPr>
      </w:pPr>
      <w:r w:rsidRPr="003552CE">
        <w:rPr>
          <w:rFonts w:ascii="楷体" w:eastAsia="楷体" w:hAnsi="楷体" w:cs="宋体" w:hint="eastAsia"/>
          <w:color w:val="333333"/>
          <w:kern w:val="0"/>
          <w:sz w:val="28"/>
          <w:szCs w:val="28"/>
        </w:rPr>
        <w:t xml:space="preserve">　　　　　　　　　　　　　　</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国务院国有资产监督管理委员会</w:t>
      </w:r>
      <w:r w:rsidRPr="003552CE">
        <w:rPr>
          <w:rFonts w:ascii="楷体" w:eastAsia="楷体" w:hAnsi="楷体" w:cs="宋体" w:hint="eastAsia"/>
          <w:color w:val="333333"/>
          <w:kern w:val="0"/>
          <w:sz w:val="28"/>
          <w:szCs w:val="28"/>
        </w:rPr>
        <w:br/>
        <w:t xml:space="preserve">　　　　　　　　　　　　　　　　二○一○年五月二十五日</w:t>
      </w:r>
    </w:p>
    <w:p w:rsidR="0042053C" w:rsidRPr="003552CE" w:rsidRDefault="0042053C" w:rsidP="0042053C">
      <w:pPr>
        <w:widowControl/>
        <w:spacing w:line="480" w:lineRule="atLeast"/>
        <w:jc w:val="center"/>
        <w:rPr>
          <w:rFonts w:ascii="楷体" w:eastAsia="楷体" w:hAnsi="楷体" w:cs="宋体"/>
          <w:color w:val="333333"/>
          <w:kern w:val="0"/>
          <w:sz w:val="28"/>
          <w:szCs w:val="28"/>
        </w:rPr>
      </w:pPr>
      <w:r w:rsidRPr="003552CE">
        <w:rPr>
          <w:rFonts w:ascii="楷体" w:eastAsia="楷体" w:hAnsi="楷体" w:cs="宋体" w:hint="eastAsia"/>
          <w:b/>
          <w:bCs/>
          <w:color w:val="333333"/>
          <w:kern w:val="0"/>
          <w:sz w:val="28"/>
          <w:szCs w:val="28"/>
        </w:rPr>
        <w:t>中央企业资产评估项目核准工作指引</w:t>
      </w:r>
    </w:p>
    <w:p w:rsidR="0042053C" w:rsidRPr="003552CE" w:rsidRDefault="0042053C" w:rsidP="0042053C">
      <w:pPr>
        <w:widowControl/>
        <w:spacing w:line="480" w:lineRule="atLeast"/>
        <w:jc w:val="left"/>
        <w:rPr>
          <w:rFonts w:ascii="楷体" w:eastAsia="楷体" w:hAnsi="楷体" w:cs="宋体"/>
          <w:color w:val="333333"/>
          <w:kern w:val="0"/>
          <w:sz w:val="28"/>
          <w:szCs w:val="28"/>
        </w:rPr>
      </w:pPr>
      <w:r w:rsidRPr="003552CE">
        <w:rPr>
          <w:rFonts w:ascii="楷体" w:eastAsia="楷体" w:hAnsi="楷体" w:cs="宋体" w:hint="eastAsia"/>
          <w:color w:val="333333"/>
          <w:kern w:val="0"/>
          <w:sz w:val="28"/>
          <w:szCs w:val="28"/>
        </w:rPr>
        <w:t xml:space="preserve">　　第一条</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为确保中央企业（以下简称企业）改制重组工作顺利进行，进一步规范企业国有资产评估项目核准工作，依据《企业国有资产评估管理暂行办法》（国资委令第12号）（以下简称12号令）等规定，制定本指引。</w:t>
      </w:r>
      <w:r w:rsidRPr="003552CE">
        <w:rPr>
          <w:rFonts w:ascii="楷体" w:eastAsia="楷体" w:hAnsi="楷体" w:cs="宋体" w:hint="eastAsia"/>
          <w:color w:val="333333"/>
          <w:kern w:val="0"/>
          <w:sz w:val="28"/>
          <w:szCs w:val="28"/>
        </w:rPr>
        <w:br/>
        <w:t xml:space="preserve">　　第二条</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按照12号令规定应当进行核准的资产评估项目，企业在确定评估基准日前，应当向国务院国有资产监督管理委员会（以下简称国资委）书面报告下列有关事项：</w:t>
      </w:r>
      <w:r w:rsidRPr="003552CE">
        <w:rPr>
          <w:rFonts w:ascii="楷体" w:eastAsia="楷体" w:hAnsi="楷体" w:cs="宋体" w:hint="eastAsia"/>
          <w:color w:val="333333"/>
          <w:kern w:val="0"/>
          <w:sz w:val="28"/>
          <w:szCs w:val="28"/>
        </w:rPr>
        <w:br/>
        <w:t xml:space="preserve">　　（一）国家有关部门对相关经济行为的批复情况；</w:t>
      </w:r>
      <w:r w:rsidRPr="003552CE">
        <w:rPr>
          <w:rFonts w:ascii="楷体" w:eastAsia="楷体" w:hAnsi="楷体" w:cs="宋体" w:hint="eastAsia"/>
          <w:color w:val="333333"/>
          <w:kern w:val="0"/>
          <w:sz w:val="28"/>
          <w:szCs w:val="28"/>
        </w:rPr>
        <w:br/>
        <w:t xml:space="preserve">　　（二）评估基准日的选择情况及理由；</w:t>
      </w:r>
      <w:r w:rsidRPr="003552CE">
        <w:rPr>
          <w:rFonts w:ascii="楷体" w:eastAsia="楷体" w:hAnsi="楷体" w:cs="宋体" w:hint="eastAsia"/>
          <w:color w:val="333333"/>
          <w:kern w:val="0"/>
          <w:sz w:val="28"/>
          <w:szCs w:val="28"/>
        </w:rPr>
        <w:br/>
      </w:r>
      <w:r w:rsidRPr="003552CE">
        <w:rPr>
          <w:rFonts w:ascii="楷体" w:eastAsia="楷体" w:hAnsi="楷体" w:cs="宋体" w:hint="eastAsia"/>
          <w:color w:val="333333"/>
          <w:kern w:val="0"/>
          <w:sz w:val="28"/>
          <w:szCs w:val="28"/>
        </w:rPr>
        <w:lastRenderedPageBreak/>
        <w:t xml:space="preserve">　　（三）资产评估范围的确定情况，包括拟纳入评估范围的资产占企业全部资产比例关系、拟纳入评估范围的资产是否与经济行为一致及拟剥离资产处置方案等；</w:t>
      </w:r>
      <w:r w:rsidRPr="003552CE">
        <w:rPr>
          <w:rFonts w:ascii="楷体" w:eastAsia="楷体" w:hAnsi="楷体" w:cs="宋体" w:hint="eastAsia"/>
          <w:color w:val="333333"/>
          <w:kern w:val="0"/>
          <w:sz w:val="28"/>
          <w:szCs w:val="28"/>
        </w:rPr>
        <w:br/>
        <w:t xml:space="preserve">　　（四）资产评估机构选聘情况，包括选聘评估机构的条件、范围、程序及拟选定机构的资质、专业特长情况等；</w:t>
      </w:r>
      <w:r w:rsidRPr="003552CE">
        <w:rPr>
          <w:rFonts w:ascii="楷体" w:eastAsia="楷体" w:hAnsi="楷体" w:cs="宋体" w:hint="eastAsia"/>
          <w:color w:val="333333"/>
          <w:kern w:val="0"/>
          <w:sz w:val="28"/>
          <w:szCs w:val="28"/>
        </w:rPr>
        <w:br/>
        <w:t xml:space="preserve">　　（五）资产评估的时间进度安排情况，包括资产评估的现场工作时间、评估报告的出具时间及报国资委申请核准时间。</w:t>
      </w:r>
      <w:r w:rsidRPr="003552CE">
        <w:rPr>
          <w:rFonts w:ascii="楷体" w:eastAsia="楷体" w:hAnsi="楷体" w:cs="宋体" w:hint="eastAsia"/>
          <w:color w:val="333333"/>
          <w:kern w:val="0"/>
          <w:sz w:val="28"/>
          <w:szCs w:val="28"/>
        </w:rPr>
        <w:br/>
        <w:t xml:space="preserve">　　第三条</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在评估项目开展过程中，企业应当及时向国资委报告资产评估项目的工作进展情况，包括评估、审计、土地、矿产资源等相关工作的进展情况，工作中发现问题应当及时沟通。必要时，国资委可对评估项目进行跟踪指导和现场检查。</w:t>
      </w:r>
      <w:r w:rsidRPr="003552CE">
        <w:rPr>
          <w:rFonts w:ascii="楷体" w:eastAsia="楷体" w:hAnsi="楷体" w:cs="宋体" w:hint="eastAsia"/>
          <w:color w:val="333333"/>
          <w:kern w:val="0"/>
          <w:sz w:val="28"/>
          <w:szCs w:val="28"/>
        </w:rPr>
        <w:br/>
        <w:t xml:space="preserve">　　第四条</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企业将评估报告报国资委申请核准前，应当完成以下事项：</w:t>
      </w:r>
      <w:r w:rsidRPr="003552CE">
        <w:rPr>
          <w:rFonts w:ascii="楷体" w:eastAsia="楷体" w:hAnsi="楷体" w:cs="宋体" w:hint="eastAsia"/>
          <w:color w:val="333333"/>
          <w:kern w:val="0"/>
          <w:sz w:val="28"/>
          <w:szCs w:val="28"/>
        </w:rPr>
        <w:br/>
        <w:t xml:space="preserve">　　（一）取得国家有关部门对相关经济行为的正式批准文件;</w:t>
      </w:r>
      <w:r w:rsidRPr="003552CE">
        <w:rPr>
          <w:rFonts w:ascii="楷体" w:eastAsia="楷体" w:hAnsi="楷体" w:cs="宋体" w:hint="eastAsia"/>
          <w:color w:val="333333"/>
          <w:kern w:val="0"/>
          <w:sz w:val="28"/>
          <w:szCs w:val="28"/>
        </w:rPr>
        <w:br/>
        <w:t xml:space="preserve">　　（二）确认所聘请中介机构及相关人员具有相应资质;</w:t>
      </w:r>
      <w:r w:rsidRPr="003552CE">
        <w:rPr>
          <w:rFonts w:ascii="楷体" w:eastAsia="楷体" w:hAnsi="楷体" w:cs="宋体" w:hint="eastAsia"/>
          <w:color w:val="333333"/>
          <w:kern w:val="0"/>
          <w:sz w:val="28"/>
          <w:szCs w:val="28"/>
        </w:rPr>
        <w:br/>
        <w:t xml:space="preserve">　　（三）纳入评估范围的房产、土地及矿产资源等资产权属要件齐全，并依法办理相关企业产权变动事宜;</w:t>
      </w:r>
      <w:r w:rsidRPr="003552CE">
        <w:rPr>
          <w:rFonts w:ascii="楷体" w:eastAsia="楷体" w:hAnsi="楷体" w:cs="宋体" w:hint="eastAsia"/>
          <w:color w:val="333333"/>
          <w:kern w:val="0"/>
          <w:sz w:val="28"/>
          <w:szCs w:val="28"/>
        </w:rPr>
        <w:br/>
        <w:t xml:space="preserve">　　（四）纳入评估范围的资产与经济行为批复、重组改制方案内容一致;</w:t>
      </w:r>
      <w:r w:rsidRPr="003552CE">
        <w:rPr>
          <w:rFonts w:ascii="楷体" w:eastAsia="楷体" w:hAnsi="楷体" w:cs="宋体" w:hint="eastAsia"/>
          <w:color w:val="333333"/>
          <w:kern w:val="0"/>
          <w:sz w:val="28"/>
          <w:szCs w:val="28"/>
        </w:rPr>
        <w:br/>
        <w:t xml:space="preserve">　　（五）对评估报告进行审核并督促评估机构修改完善。</w:t>
      </w:r>
      <w:r w:rsidRPr="003552CE">
        <w:rPr>
          <w:rFonts w:ascii="楷体" w:eastAsia="楷体" w:hAnsi="楷体" w:cs="宋体" w:hint="eastAsia"/>
          <w:color w:val="333333"/>
          <w:kern w:val="0"/>
          <w:sz w:val="28"/>
          <w:szCs w:val="28"/>
        </w:rPr>
        <w:br/>
        <w:t xml:space="preserve">　　第五条</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企业应当自评估基准日起8个月内向国资委提出核准申请，并报送下列文件材料：</w:t>
      </w:r>
      <w:r w:rsidRPr="003552CE">
        <w:rPr>
          <w:rFonts w:ascii="楷体" w:eastAsia="楷体" w:hAnsi="楷体" w:cs="宋体" w:hint="eastAsia"/>
          <w:color w:val="333333"/>
          <w:kern w:val="0"/>
          <w:sz w:val="28"/>
          <w:szCs w:val="28"/>
        </w:rPr>
        <w:br/>
      </w:r>
      <w:r w:rsidRPr="003552CE">
        <w:rPr>
          <w:rFonts w:ascii="楷体" w:eastAsia="楷体" w:hAnsi="楷体" w:cs="宋体" w:hint="eastAsia"/>
          <w:color w:val="333333"/>
          <w:kern w:val="0"/>
          <w:sz w:val="28"/>
          <w:szCs w:val="28"/>
        </w:rPr>
        <w:lastRenderedPageBreak/>
        <w:t xml:space="preserve">　　（一）资产评估项目核准申请文件，主要包括经济行为批准情况、资产评估工作情况和资产评估账面值、评估值等。</w:t>
      </w:r>
      <w:r w:rsidRPr="003552CE">
        <w:rPr>
          <w:rFonts w:ascii="楷体" w:eastAsia="楷体" w:hAnsi="楷体" w:cs="宋体" w:hint="eastAsia"/>
          <w:color w:val="333333"/>
          <w:kern w:val="0"/>
          <w:sz w:val="28"/>
          <w:szCs w:val="28"/>
        </w:rPr>
        <w:br/>
        <w:t xml:space="preserve">　　（二）资产评估项目核准申请表（一式三份）。</w:t>
      </w:r>
      <w:r w:rsidRPr="003552CE">
        <w:rPr>
          <w:rFonts w:ascii="楷体" w:eastAsia="楷体" w:hAnsi="楷体" w:cs="宋体" w:hint="eastAsia"/>
          <w:color w:val="333333"/>
          <w:kern w:val="0"/>
          <w:sz w:val="28"/>
          <w:szCs w:val="28"/>
        </w:rPr>
        <w:br/>
        <w:t xml:space="preserve">　　（三）与评估目的相对应的经济行为批准文件或有效材料，包括国务院批复文件、相关部门批复文件以及企业董事会或总经理办公会议决议等。</w:t>
      </w:r>
      <w:r w:rsidRPr="003552CE">
        <w:rPr>
          <w:rFonts w:ascii="楷体" w:eastAsia="楷体" w:hAnsi="楷体" w:cs="宋体" w:hint="eastAsia"/>
          <w:color w:val="333333"/>
          <w:kern w:val="0"/>
          <w:sz w:val="28"/>
          <w:szCs w:val="28"/>
        </w:rPr>
        <w:br/>
        <w:t xml:space="preserve">　　（四）所涉及的资产重组方案或者改制方案、发起人协议等材料。</w:t>
      </w:r>
      <w:r w:rsidRPr="003552CE">
        <w:rPr>
          <w:rFonts w:ascii="楷体" w:eastAsia="楷体" w:hAnsi="楷体" w:cs="宋体" w:hint="eastAsia"/>
          <w:color w:val="333333"/>
          <w:kern w:val="0"/>
          <w:sz w:val="28"/>
          <w:szCs w:val="28"/>
        </w:rPr>
        <w:br/>
        <w:t xml:space="preserve">　　（五）资产评估机构提交的资产评估报告及其主要引用报告（包括评估报告书、评估说明、评估明细表及其电子文档）。</w:t>
      </w:r>
      <w:r w:rsidRPr="003552CE">
        <w:rPr>
          <w:rFonts w:ascii="楷体" w:eastAsia="楷体" w:hAnsi="楷体" w:cs="宋体" w:hint="eastAsia"/>
          <w:color w:val="333333"/>
          <w:kern w:val="0"/>
          <w:sz w:val="28"/>
          <w:szCs w:val="28"/>
        </w:rPr>
        <w:br/>
        <w:t xml:space="preserve">　　（六）所涉及的企业或资产的产权变动完成法律程序的证明文件。</w:t>
      </w:r>
      <w:r w:rsidRPr="003552CE">
        <w:rPr>
          <w:rFonts w:ascii="楷体" w:eastAsia="楷体" w:hAnsi="楷体" w:cs="宋体" w:hint="eastAsia"/>
          <w:color w:val="333333"/>
          <w:kern w:val="0"/>
          <w:sz w:val="28"/>
          <w:szCs w:val="28"/>
        </w:rPr>
        <w:br/>
        <w:t xml:space="preserve">　　（七）与经济行为相对应的无保留意见审计报告。如有强调事项段，需提供企业对有关事项的书面说明及意见。</w:t>
      </w:r>
      <w:r w:rsidRPr="003552CE">
        <w:rPr>
          <w:rFonts w:ascii="楷体" w:eastAsia="楷体" w:hAnsi="楷体" w:cs="宋体" w:hint="eastAsia"/>
          <w:color w:val="333333"/>
          <w:kern w:val="0"/>
          <w:sz w:val="28"/>
          <w:szCs w:val="28"/>
        </w:rPr>
        <w:br/>
        <w:t xml:space="preserve">　　（八）拟上市项目或已上市公司的重大资产置换与收购项目，评估基准日在6月30日（含）之前的，需提供最近三个完整会计年度和本年度截至评估基准日的审计报告；评估基准日在6月30日之后的，需提供最近两个完整会计年度和本年度截至评估基准日的审计报告。其他经济行为需提供最近一个完整会计年度和本年度截至评估基准日的审计报告。</w:t>
      </w:r>
      <w:r w:rsidRPr="003552CE">
        <w:rPr>
          <w:rFonts w:ascii="楷体" w:eastAsia="楷体" w:hAnsi="楷体" w:cs="宋体" w:hint="eastAsia"/>
          <w:color w:val="333333"/>
          <w:kern w:val="0"/>
          <w:sz w:val="28"/>
          <w:szCs w:val="28"/>
        </w:rPr>
        <w:br/>
        <w:t xml:space="preserve">　　（九）资产评估各当事方的相关承诺函。评估委托方、评估机构均应当按照评估准则的相关规定出具承诺函。</w:t>
      </w:r>
      <w:r w:rsidRPr="003552CE">
        <w:rPr>
          <w:rFonts w:ascii="楷体" w:eastAsia="楷体" w:hAnsi="楷体" w:cs="宋体" w:hint="eastAsia"/>
          <w:color w:val="333333"/>
          <w:kern w:val="0"/>
          <w:sz w:val="28"/>
          <w:szCs w:val="28"/>
        </w:rPr>
        <w:br/>
      </w:r>
      <w:r w:rsidRPr="003552CE">
        <w:rPr>
          <w:rFonts w:ascii="楷体" w:eastAsia="楷体" w:hAnsi="楷体" w:cs="宋体" w:hint="eastAsia"/>
          <w:color w:val="333333"/>
          <w:kern w:val="0"/>
          <w:sz w:val="28"/>
          <w:szCs w:val="28"/>
        </w:rPr>
        <w:lastRenderedPageBreak/>
        <w:t xml:space="preserve">　　（十）企业对评估报告审核情况的说明。</w:t>
      </w:r>
      <w:r w:rsidRPr="003552CE">
        <w:rPr>
          <w:rFonts w:ascii="楷体" w:eastAsia="楷体" w:hAnsi="楷体" w:cs="宋体" w:hint="eastAsia"/>
          <w:color w:val="333333"/>
          <w:kern w:val="0"/>
          <w:sz w:val="28"/>
          <w:szCs w:val="28"/>
        </w:rPr>
        <w:br/>
        <w:t xml:space="preserve">　　（十一）其他有关材料。</w:t>
      </w:r>
      <w:r w:rsidRPr="003552CE">
        <w:rPr>
          <w:rFonts w:ascii="楷体" w:eastAsia="楷体" w:hAnsi="楷体" w:cs="宋体" w:hint="eastAsia"/>
          <w:color w:val="333333"/>
          <w:kern w:val="0"/>
          <w:sz w:val="28"/>
          <w:szCs w:val="28"/>
        </w:rPr>
        <w:br/>
        <w:t xml:space="preserve">　　第六条</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国资委收到核准申请后，经审核符合本指引第五条规定要求的，应当在5个工作日内组织召开核准会议。参加核准会议人员包括国资委聘请的专家、被审核企业人员和中介机构人员等。</w:t>
      </w:r>
      <w:r w:rsidRPr="003552CE">
        <w:rPr>
          <w:rFonts w:ascii="楷体" w:eastAsia="楷体" w:hAnsi="楷体" w:cs="宋体" w:hint="eastAsia"/>
          <w:color w:val="333333"/>
          <w:kern w:val="0"/>
          <w:sz w:val="28"/>
          <w:szCs w:val="28"/>
        </w:rPr>
        <w:br/>
        <w:t xml:space="preserve">　　第七条</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核准会议上，企业应当组织中介机构汇报核准项目的以下相关工作情况：</w:t>
      </w:r>
      <w:r w:rsidRPr="003552CE">
        <w:rPr>
          <w:rFonts w:ascii="楷体" w:eastAsia="楷体" w:hAnsi="楷体" w:cs="宋体" w:hint="eastAsia"/>
          <w:color w:val="333333"/>
          <w:kern w:val="0"/>
          <w:sz w:val="28"/>
          <w:szCs w:val="28"/>
        </w:rPr>
        <w:br/>
        <w:t xml:space="preserve">　　（一）企业基本情况及相关工作。</w:t>
      </w:r>
      <w:r w:rsidRPr="003552CE">
        <w:rPr>
          <w:rFonts w:ascii="楷体" w:eastAsia="楷体" w:hAnsi="楷体" w:cs="宋体" w:hint="eastAsia"/>
          <w:color w:val="333333"/>
          <w:kern w:val="0"/>
          <w:sz w:val="28"/>
          <w:szCs w:val="28"/>
        </w:rPr>
        <w:br/>
        <w:t xml:space="preserve">　　1.企业基本情况概述；</w:t>
      </w:r>
      <w:r w:rsidRPr="003552CE">
        <w:rPr>
          <w:rFonts w:ascii="楷体" w:eastAsia="楷体" w:hAnsi="楷体" w:cs="宋体" w:hint="eastAsia"/>
          <w:color w:val="333333"/>
          <w:kern w:val="0"/>
          <w:sz w:val="28"/>
          <w:szCs w:val="28"/>
        </w:rPr>
        <w:br/>
        <w:t xml:space="preserve">　　2.近三年主要经营及财务状况；</w:t>
      </w:r>
      <w:r w:rsidRPr="003552CE">
        <w:rPr>
          <w:rFonts w:ascii="楷体" w:eastAsia="楷体" w:hAnsi="楷体" w:cs="宋体" w:hint="eastAsia"/>
          <w:color w:val="333333"/>
          <w:kern w:val="0"/>
          <w:sz w:val="28"/>
          <w:szCs w:val="28"/>
        </w:rPr>
        <w:br/>
        <w:t xml:space="preserve">　　3.涉及项目经济行为基本情况；</w:t>
      </w:r>
      <w:r w:rsidRPr="003552CE">
        <w:rPr>
          <w:rFonts w:ascii="楷体" w:eastAsia="楷体" w:hAnsi="楷体" w:cs="宋体" w:hint="eastAsia"/>
          <w:color w:val="333333"/>
          <w:kern w:val="0"/>
          <w:sz w:val="28"/>
          <w:szCs w:val="28"/>
        </w:rPr>
        <w:br/>
        <w:t xml:space="preserve">　　4.被评估企业改制重组前后的股权架构及产权变动情况；</w:t>
      </w:r>
      <w:r w:rsidRPr="003552CE">
        <w:rPr>
          <w:rFonts w:ascii="楷体" w:eastAsia="楷体" w:hAnsi="楷体" w:cs="宋体" w:hint="eastAsia"/>
          <w:color w:val="333333"/>
          <w:kern w:val="0"/>
          <w:sz w:val="28"/>
          <w:szCs w:val="28"/>
        </w:rPr>
        <w:br/>
        <w:t xml:space="preserve">　　5.各中介机构工作进展总体情况；</w:t>
      </w:r>
      <w:r w:rsidRPr="003552CE">
        <w:rPr>
          <w:rFonts w:ascii="楷体" w:eastAsia="楷体" w:hAnsi="楷体" w:cs="宋体" w:hint="eastAsia"/>
          <w:color w:val="333333"/>
          <w:kern w:val="0"/>
          <w:sz w:val="28"/>
          <w:szCs w:val="28"/>
        </w:rPr>
        <w:br/>
        <w:t xml:space="preserve">　　6.后续工作及时间安排。</w:t>
      </w:r>
      <w:r w:rsidRPr="003552CE">
        <w:rPr>
          <w:rFonts w:ascii="楷体" w:eastAsia="楷体" w:hAnsi="楷体" w:cs="宋体" w:hint="eastAsia"/>
          <w:color w:val="333333"/>
          <w:kern w:val="0"/>
          <w:sz w:val="28"/>
          <w:szCs w:val="28"/>
        </w:rPr>
        <w:br/>
        <w:t xml:space="preserve">　　（二）资产评估工作情况。</w:t>
      </w:r>
      <w:r w:rsidRPr="003552CE">
        <w:rPr>
          <w:rFonts w:ascii="楷体" w:eastAsia="楷体" w:hAnsi="楷体" w:cs="宋体" w:hint="eastAsia"/>
          <w:color w:val="333333"/>
          <w:kern w:val="0"/>
          <w:sz w:val="28"/>
          <w:szCs w:val="28"/>
        </w:rPr>
        <w:br/>
        <w:t xml:space="preserve">　　1.资产评估的组织，包括项目组织结构、基本工作程序、人员安排、时间进度等；</w:t>
      </w:r>
      <w:r w:rsidRPr="003552CE">
        <w:rPr>
          <w:rFonts w:ascii="楷体" w:eastAsia="楷体" w:hAnsi="楷体" w:cs="宋体" w:hint="eastAsia"/>
          <w:color w:val="333333"/>
          <w:kern w:val="0"/>
          <w:sz w:val="28"/>
          <w:szCs w:val="28"/>
        </w:rPr>
        <w:br/>
        <w:t xml:space="preserve">　　2.资产清查工作中发现的资产权属瑕疵，重要资产的运行或使用情况及盘点盈亏情况；</w:t>
      </w:r>
      <w:r w:rsidRPr="003552CE">
        <w:rPr>
          <w:rFonts w:ascii="楷体" w:eastAsia="楷体" w:hAnsi="楷体" w:cs="宋体" w:hint="eastAsia"/>
          <w:color w:val="333333"/>
          <w:kern w:val="0"/>
          <w:sz w:val="28"/>
          <w:szCs w:val="28"/>
        </w:rPr>
        <w:br/>
        <w:t xml:space="preserve">　　3.评估要素介绍，包括评估基准日、评估范围和对象，重大、特殊资产评估方法，主要评估参数的选取；</w:t>
      </w:r>
      <w:r w:rsidRPr="003552CE">
        <w:rPr>
          <w:rFonts w:ascii="楷体" w:eastAsia="楷体" w:hAnsi="楷体" w:cs="宋体" w:hint="eastAsia"/>
          <w:color w:val="333333"/>
          <w:kern w:val="0"/>
          <w:sz w:val="28"/>
          <w:szCs w:val="28"/>
        </w:rPr>
        <w:br/>
        <w:t xml:space="preserve">　　4.评估基准日后评估范围内重大资产变动和重组情况；</w:t>
      </w:r>
      <w:r w:rsidRPr="003552CE">
        <w:rPr>
          <w:rFonts w:ascii="楷体" w:eastAsia="楷体" w:hAnsi="楷体" w:cs="宋体" w:hint="eastAsia"/>
          <w:color w:val="333333"/>
          <w:kern w:val="0"/>
          <w:sz w:val="28"/>
          <w:szCs w:val="28"/>
        </w:rPr>
        <w:br/>
      </w:r>
      <w:r w:rsidRPr="003552CE">
        <w:rPr>
          <w:rFonts w:ascii="楷体" w:eastAsia="楷体" w:hAnsi="楷体" w:cs="宋体" w:hint="eastAsia"/>
          <w:color w:val="333333"/>
          <w:kern w:val="0"/>
          <w:sz w:val="28"/>
          <w:szCs w:val="28"/>
        </w:rPr>
        <w:lastRenderedPageBreak/>
        <w:t xml:space="preserve">　　5.土地使用权评估结果的引用情况；</w:t>
      </w:r>
      <w:r w:rsidRPr="003552CE">
        <w:rPr>
          <w:rFonts w:ascii="楷体" w:eastAsia="楷体" w:hAnsi="楷体" w:cs="宋体" w:hint="eastAsia"/>
          <w:color w:val="333333"/>
          <w:kern w:val="0"/>
          <w:sz w:val="28"/>
          <w:szCs w:val="28"/>
        </w:rPr>
        <w:br/>
        <w:t xml:space="preserve">　　6.矿业权评估结果的引用情况；</w:t>
      </w:r>
      <w:r w:rsidRPr="003552CE">
        <w:rPr>
          <w:rFonts w:ascii="楷体" w:eastAsia="楷体" w:hAnsi="楷体" w:cs="宋体" w:hint="eastAsia"/>
          <w:color w:val="333333"/>
          <w:kern w:val="0"/>
          <w:sz w:val="28"/>
          <w:szCs w:val="28"/>
        </w:rPr>
        <w:br/>
        <w:t xml:space="preserve">　　7.境外估值机构与资产评估机构就同类评估对象估值差异分析；</w:t>
      </w:r>
      <w:r w:rsidRPr="003552CE">
        <w:rPr>
          <w:rFonts w:ascii="楷体" w:eastAsia="楷体" w:hAnsi="楷体" w:cs="宋体" w:hint="eastAsia"/>
          <w:color w:val="333333"/>
          <w:kern w:val="0"/>
          <w:sz w:val="28"/>
          <w:szCs w:val="28"/>
        </w:rPr>
        <w:br/>
        <w:t xml:space="preserve">　　8.其他中介机构工作成果的引用情况；</w:t>
      </w:r>
      <w:r w:rsidRPr="003552CE">
        <w:rPr>
          <w:rFonts w:ascii="楷体" w:eastAsia="楷体" w:hAnsi="楷体" w:cs="宋体" w:hint="eastAsia"/>
          <w:color w:val="333333"/>
          <w:kern w:val="0"/>
          <w:sz w:val="28"/>
          <w:szCs w:val="28"/>
        </w:rPr>
        <w:br/>
        <w:t xml:space="preserve">　　9.评估机构对评估报告的内部质量控制情况；</w:t>
      </w:r>
      <w:r w:rsidRPr="003552CE">
        <w:rPr>
          <w:rFonts w:ascii="楷体" w:eastAsia="楷体" w:hAnsi="楷体" w:cs="宋体" w:hint="eastAsia"/>
          <w:color w:val="333333"/>
          <w:kern w:val="0"/>
          <w:sz w:val="28"/>
          <w:szCs w:val="28"/>
        </w:rPr>
        <w:br/>
        <w:t xml:space="preserve">　　10.评估结论及增减值原因分析；</w:t>
      </w:r>
      <w:r w:rsidRPr="003552CE">
        <w:rPr>
          <w:rFonts w:ascii="楷体" w:eastAsia="楷体" w:hAnsi="楷体" w:cs="宋体" w:hint="eastAsia"/>
          <w:color w:val="333333"/>
          <w:kern w:val="0"/>
          <w:sz w:val="28"/>
          <w:szCs w:val="28"/>
        </w:rPr>
        <w:br/>
        <w:t xml:space="preserve">　　11.评估报告体例。</w:t>
      </w:r>
      <w:r w:rsidRPr="003552CE">
        <w:rPr>
          <w:rFonts w:ascii="楷体" w:eastAsia="楷体" w:hAnsi="楷体" w:cs="宋体" w:hint="eastAsia"/>
          <w:color w:val="333333"/>
          <w:kern w:val="0"/>
          <w:sz w:val="28"/>
          <w:szCs w:val="28"/>
        </w:rPr>
        <w:br/>
        <w:t xml:space="preserve">　　（三）土地估价工作情况。</w:t>
      </w:r>
      <w:r w:rsidRPr="003552CE">
        <w:rPr>
          <w:rFonts w:ascii="楷体" w:eastAsia="楷体" w:hAnsi="楷体" w:cs="宋体" w:hint="eastAsia"/>
          <w:color w:val="333333"/>
          <w:kern w:val="0"/>
          <w:sz w:val="28"/>
          <w:szCs w:val="28"/>
        </w:rPr>
        <w:br/>
        <w:t xml:space="preserve">　　1.估价工作总协调情况和合作评估机构的介绍；</w:t>
      </w:r>
      <w:r w:rsidRPr="003552CE">
        <w:rPr>
          <w:rFonts w:ascii="楷体" w:eastAsia="楷体" w:hAnsi="楷体" w:cs="宋体" w:hint="eastAsia"/>
          <w:color w:val="333333"/>
          <w:kern w:val="0"/>
          <w:sz w:val="28"/>
          <w:szCs w:val="28"/>
        </w:rPr>
        <w:br/>
        <w:t xml:space="preserve">　　2.评估项目涉及的执业土地估价师名单；</w:t>
      </w:r>
      <w:r w:rsidRPr="003552CE">
        <w:rPr>
          <w:rFonts w:ascii="楷体" w:eastAsia="楷体" w:hAnsi="楷体" w:cs="宋体" w:hint="eastAsia"/>
          <w:color w:val="333333"/>
          <w:kern w:val="0"/>
          <w:sz w:val="28"/>
          <w:szCs w:val="28"/>
        </w:rPr>
        <w:br/>
        <w:t xml:space="preserve">　　3.评估项目涉及的土地权属状况；</w:t>
      </w:r>
      <w:r w:rsidRPr="003552CE">
        <w:rPr>
          <w:rFonts w:ascii="楷体" w:eastAsia="楷体" w:hAnsi="楷体" w:cs="宋体" w:hint="eastAsia"/>
          <w:color w:val="333333"/>
          <w:kern w:val="0"/>
          <w:sz w:val="28"/>
          <w:szCs w:val="28"/>
        </w:rPr>
        <w:br/>
        <w:t xml:space="preserve">　　4.土地估价技术方案和评估基本过程描述；</w:t>
      </w:r>
      <w:r w:rsidRPr="003552CE">
        <w:rPr>
          <w:rFonts w:ascii="楷体" w:eastAsia="楷体" w:hAnsi="楷体" w:cs="宋体" w:hint="eastAsia"/>
          <w:color w:val="333333"/>
          <w:kern w:val="0"/>
          <w:sz w:val="28"/>
          <w:szCs w:val="28"/>
        </w:rPr>
        <w:br/>
        <w:t xml:space="preserve">　　5.评估项目涉及的土地、房屋的房地匹配说明及附表；</w:t>
      </w:r>
      <w:r w:rsidRPr="003552CE">
        <w:rPr>
          <w:rFonts w:ascii="楷体" w:eastAsia="楷体" w:hAnsi="楷体" w:cs="宋体" w:hint="eastAsia"/>
          <w:color w:val="333333"/>
          <w:kern w:val="0"/>
          <w:sz w:val="28"/>
          <w:szCs w:val="28"/>
        </w:rPr>
        <w:br/>
        <w:t xml:space="preserve">　　6.完善土地权属的预计费用支出情况；</w:t>
      </w:r>
      <w:r w:rsidRPr="003552CE">
        <w:rPr>
          <w:rFonts w:ascii="楷体" w:eastAsia="楷体" w:hAnsi="楷体" w:cs="宋体" w:hint="eastAsia"/>
          <w:color w:val="333333"/>
          <w:kern w:val="0"/>
          <w:sz w:val="28"/>
          <w:szCs w:val="28"/>
        </w:rPr>
        <w:br/>
        <w:t xml:space="preserve">　　7.土地资产处置审批与土地估价报告备案情况。</w:t>
      </w:r>
      <w:r w:rsidRPr="003552CE">
        <w:rPr>
          <w:rFonts w:ascii="楷体" w:eastAsia="楷体" w:hAnsi="楷体" w:cs="宋体" w:hint="eastAsia"/>
          <w:color w:val="333333"/>
          <w:kern w:val="0"/>
          <w:sz w:val="28"/>
          <w:szCs w:val="28"/>
        </w:rPr>
        <w:br/>
        <w:t xml:space="preserve">　　（四）涉及矿产资源的，应当汇报矿业权评估情况。</w:t>
      </w:r>
      <w:r w:rsidRPr="003552CE">
        <w:rPr>
          <w:rFonts w:ascii="楷体" w:eastAsia="楷体" w:hAnsi="楷体" w:cs="宋体" w:hint="eastAsia"/>
          <w:color w:val="333333"/>
          <w:kern w:val="0"/>
          <w:sz w:val="28"/>
          <w:szCs w:val="28"/>
        </w:rPr>
        <w:br/>
        <w:t xml:space="preserve">　　1.评估项目涉及的矿业权评估师名单；</w:t>
      </w:r>
      <w:r w:rsidRPr="003552CE">
        <w:rPr>
          <w:rFonts w:ascii="楷体" w:eastAsia="楷体" w:hAnsi="楷体" w:cs="宋体" w:hint="eastAsia"/>
          <w:color w:val="333333"/>
          <w:kern w:val="0"/>
          <w:sz w:val="28"/>
          <w:szCs w:val="28"/>
        </w:rPr>
        <w:br/>
        <w:t xml:space="preserve">　　2.矿业权人、矿业权评估对象的主要情况；</w:t>
      </w:r>
      <w:r w:rsidRPr="003552CE">
        <w:rPr>
          <w:rFonts w:ascii="楷体" w:eastAsia="楷体" w:hAnsi="楷体" w:cs="宋体" w:hint="eastAsia"/>
          <w:color w:val="333333"/>
          <w:kern w:val="0"/>
          <w:sz w:val="28"/>
          <w:szCs w:val="28"/>
        </w:rPr>
        <w:br/>
        <w:t xml:space="preserve">　　3.矿业权价款处置及本次评估的处理情况；</w:t>
      </w:r>
      <w:r w:rsidRPr="003552CE">
        <w:rPr>
          <w:rFonts w:ascii="楷体" w:eastAsia="楷体" w:hAnsi="楷体" w:cs="宋体" w:hint="eastAsia"/>
          <w:color w:val="333333"/>
          <w:kern w:val="0"/>
          <w:sz w:val="28"/>
          <w:szCs w:val="28"/>
        </w:rPr>
        <w:br/>
        <w:t xml:space="preserve">　　4.评估项目涉及的矿产资源储量核实和评审备案情况；</w:t>
      </w:r>
      <w:r w:rsidRPr="003552CE">
        <w:rPr>
          <w:rFonts w:ascii="楷体" w:eastAsia="楷体" w:hAnsi="楷体" w:cs="宋体" w:hint="eastAsia"/>
          <w:color w:val="333333"/>
          <w:kern w:val="0"/>
          <w:sz w:val="28"/>
          <w:szCs w:val="28"/>
        </w:rPr>
        <w:br/>
        <w:t xml:space="preserve">　　5.评估技术方案和评估基本过程描述；</w:t>
      </w:r>
      <w:r w:rsidRPr="003552CE">
        <w:rPr>
          <w:rFonts w:ascii="楷体" w:eastAsia="楷体" w:hAnsi="楷体" w:cs="宋体" w:hint="eastAsia"/>
          <w:color w:val="333333"/>
          <w:kern w:val="0"/>
          <w:sz w:val="28"/>
          <w:szCs w:val="28"/>
        </w:rPr>
        <w:br/>
      </w:r>
      <w:r w:rsidRPr="003552CE">
        <w:rPr>
          <w:rFonts w:ascii="楷体" w:eastAsia="楷体" w:hAnsi="楷体" w:cs="宋体" w:hint="eastAsia"/>
          <w:color w:val="333333"/>
          <w:kern w:val="0"/>
          <w:sz w:val="28"/>
          <w:szCs w:val="28"/>
        </w:rPr>
        <w:lastRenderedPageBreak/>
        <w:t xml:space="preserve">　　6.评估项目涉及的固定资产和土地使用权投资参数与资产评估、土地使用权评估的对接情况；</w:t>
      </w:r>
      <w:r w:rsidRPr="003552CE">
        <w:rPr>
          <w:rFonts w:ascii="楷体" w:eastAsia="楷体" w:hAnsi="楷体" w:cs="宋体" w:hint="eastAsia"/>
          <w:color w:val="333333"/>
          <w:kern w:val="0"/>
          <w:sz w:val="28"/>
          <w:szCs w:val="28"/>
        </w:rPr>
        <w:br/>
        <w:t xml:space="preserve">　　7.完善矿业权权属的预计费用支出情况。</w:t>
      </w:r>
      <w:r w:rsidRPr="003552CE">
        <w:rPr>
          <w:rFonts w:ascii="楷体" w:eastAsia="楷体" w:hAnsi="楷体" w:cs="宋体" w:hint="eastAsia"/>
          <w:color w:val="333333"/>
          <w:kern w:val="0"/>
          <w:sz w:val="28"/>
          <w:szCs w:val="28"/>
        </w:rPr>
        <w:br/>
        <w:t xml:space="preserve">　　（五）审计工作情况。</w:t>
      </w:r>
      <w:r w:rsidRPr="003552CE">
        <w:rPr>
          <w:rFonts w:ascii="楷体" w:eastAsia="楷体" w:hAnsi="楷体" w:cs="宋体" w:hint="eastAsia"/>
          <w:color w:val="333333"/>
          <w:kern w:val="0"/>
          <w:sz w:val="28"/>
          <w:szCs w:val="28"/>
        </w:rPr>
        <w:br/>
        <w:t xml:space="preserve">　　1.审计工作的组织，包括项目组织结构、基本工作程序、人员安排、时间进度等；</w:t>
      </w:r>
      <w:r w:rsidRPr="003552CE">
        <w:rPr>
          <w:rFonts w:ascii="楷体" w:eastAsia="楷体" w:hAnsi="楷体" w:cs="宋体" w:hint="eastAsia"/>
          <w:color w:val="333333"/>
          <w:kern w:val="0"/>
          <w:sz w:val="28"/>
          <w:szCs w:val="28"/>
        </w:rPr>
        <w:br/>
        <w:t xml:space="preserve">　　2.所审计财务报表的编制基础，对于特殊的编制基础或有模拟的企业架构，应当重点予以介绍；</w:t>
      </w:r>
      <w:r w:rsidRPr="003552CE">
        <w:rPr>
          <w:rFonts w:ascii="楷体" w:eastAsia="楷体" w:hAnsi="楷体" w:cs="宋体" w:hint="eastAsia"/>
          <w:color w:val="333333"/>
          <w:kern w:val="0"/>
          <w:sz w:val="28"/>
          <w:szCs w:val="28"/>
        </w:rPr>
        <w:br/>
        <w:t xml:space="preserve">　　3.对所审计财务报表有重大影响的事项，包括重要重组行为及其会计处理等，说明事项及其影响金额；</w:t>
      </w:r>
      <w:r w:rsidRPr="003552CE">
        <w:rPr>
          <w:rFonts w:ascii="楷体" w:eastAsia="楷体" w:hAnsi="楷体" w:cs="宋体" w:hint="eastAsia"/>
          <w:color w:val="333333"/>
          <w:kern w:val="0"/>
          <w:sz w:val="28"/>
          <w:szCs w:val="28"/>
        </w:rPr>
        <w:br/>
        <w:t xml:space="preserve">　　4.合并报表的合并范围说明；</w:t>
      </w:r>
      <w:r w:rsidRPr="003552CE">
        <w:rPr>
          <w:rFonts w:ascii="楷体" w:eastAsia="楷体" w:hAnsi="楷体" w:cs="宋体" w:hint="eastAsia"/>
          <w:color w:val="333333"/>
          <w:kern w:val="0"/>
          <w:sz w:val="28"/>
          <w:szCs w:val="28"/>
        </w:rPr>
        <w:br/>
        <w:t xml:space="preserve">　　5.对于拟境外上市的公司或境外上市公司实施收购的核准项目，需说明所审计报表与境外报表之间净利润与净资产的主要差异项目及金额；</w:t>
      </w:r>
      <w:r w:rsidRPr="003552CE">
        <w:rPr>
          <w:rFonts w:ascii="楷体" w:eastAsia="楷体" w:hAnsi="楷体" w:cs="宋体" w:hint="eastAsia"/>
          <w:color w:val="333333"/>
          <w:kern w:val="0"/>
          <w:sz w:val="28"/>
          <w:szCs w:val="28"/>
        </w:rPr>
        <w:br/>
        <w:t xml:space="preserve">　　6.审计结论。</w:t>
      </w:r>
      <w:r w:rsidRPr="003552CE">
        <w:rPr>
          <w:rFonts w:ascii="楷体" w:eastAsia="楷体" w:hAnsi="楷体" w:cs="宋体" w:hint="eastAsia"/>
          <w:color w:val="333333"/>
          <w:kern w:val="0"/>
          <w:sz w:val="28"/>
          <w:szCs w:val="28"/>
        </w:rPr>
        <w:br/>
        <w:t xml:space="preserve">　　（六）律师工作情况。</w:t>
      </w:r>
      <w:r w:rsidRPr="003552CE">
        <w:rPr>
          <w:rFonts w:ascii="楷体" w:eastAsia="楷体" w:hAnsi="楷体" w:cs="宋体" w:hint="eastAsia"/>
          <w:color w:val="333333"/>
          <w:kern w:val="0"/>
          <w:sz w:val="28"/>
          <w:szCs w:val="28"/>
        </w:rPr>
        <w:br/>
        <w:t xml:space="preserve">　　1.相关经济行为的合法性情况；</w:t>
      </w:r>
      <w:r w:rsidRPr="003552CE">
        <w:rPr>
          <w:rFonts w:ascii="楷体" w:eastAsia="楷体" w:hAnsi="楷体" w:cs="宋体" w:hint="eastAsia"/>
          <w:color w:val="333333"/>
          <w:kern w:val="0"/>
          <w:sz w:val="28"/>
          <w:szCs w:val="28"/>
        </w:rPr>
        <w:br/>
        <w:t xml:space="preserve">　　2.房产、土地、矿产资源等资产权属文件办理情况及其合规性，存在瑕疵的处理方法及其合规性承诺；</w:t>
      </w:r>
      <w:r w:rsidRPr="003552CE">
        <w:rPr>
          <w:rFonts w:ascii="楷体" w:eastAsia="楷体" w:hAnsi="楷体" w:cs="宋体" w:hint="eastAsia"/>
          <w:color w:val="333333"/>
          <w:kern w:val="0"/>
          <w:sz w:val="28"/>
          <w:szCs w:val="28"/>
        </w:rPr>
        <w:br/>
        <w:t xml:space="preserve">　　3.尽职调查情况。</w:t>
      </w:r>
      <w:r w:rsidRPr="003552CE">
        <w:rPr>
          <w:rFonts w:ascii="楷体" w:eastAsia="楷体" w:hAnsi="楷体" w:cs="宋体" w:hint="eastAsia"/>
          <w:color w:val="333333"/>
          <w:kern w:val="0"/>
          <w:sz w:val="28"/>
          <w:szCs w:val="28"/>
        </w:rPr>
        <w:br/>
        <w:t xml:space="preserve">　　（七）聘请财务顾问的，应当汇报的情况。</w:t>
      </w:r>
      <w:r w:rsidRPr="003552CE">
        <w:rPr>
          <w:rFonts w:ascii="楷体" w:eastAsia="楷体" w:hAnsi="楷体" w:cs="宋体" w:hint="eastAsia"/>
          <w:color w:val="333333"/>
          <w:kern w:val="0"/>
          <w:sz w:val="28"/>
          <w:szCs w:val="28"/>
        </w:rPr>
        <w:br/>
        <w:t xml:space="preserve">　　1.企业经济行为总体方案及要点；</w:t>
      </w:r>
      <w:r w:rsidRPr="003552CE">
        <w:rPr>
          <w:rFonts w:ascii="楷体" w:eastAsia="楷体" w:hAnsi="楷体" w:cs="宋体" w:hint="eastAsia"/>
          <w:color w:val="333333"/>
          <w:kern w:val="0"/>
          <w:sz w:val="28"/>
          <w:szCs w:val="28"/>
        </w:rPr>
        <w:br/>
      </w:r>
      <w:r w:rsidRPr="003552CE">
        <w:rPr>
          <w:rFonts w:ascii="楷体" w:eastAsia="楷体" w:hAnsi="楷体" w:cs="宋体" w:hint="eastAsia"/>
          <w:color w:val="333333"/>
          <w:kern w:val="0"/>
          <w:sz w:val="28"/>
          <w:szCs w:val="28"/>
        </w:rPr>
        <w:lastRenderedPageBreak/>
        <w:t xml:space="preserve">　　2.企业经济行为的重要性和必要性；</w:t>
      </w:r>
      <w:r w:rsidRPr="003552CE">
        <w:rPr>
          <w:rFonts w:ascii="楷体" w:eastAsia="楷体" w:hAnsi="楷体" w:cs="宋体" w:hint="eastAsia"/>
          <w:color w:val="333333"/>
          <w:kern w:val="0"/>
          <w:sz w:val="28"/>
          <w:szCs w:val="28"/>
        </w:rPr>
        <w:br/>
        <w:t xml:space="preserve">　　3.总体时间安排及进度；</w:t>
      </w:r>
      <w:r w:rsidRPr="003552CE">
        <w:rPr>
          <w:rFonts w:ascii="楷体" w:eastAsia="楷体" w:hAnsi="楷体" w:cs="宋体" w:hint="eastAsia"/>
          <w:color w:val="333333"/>
          <w:kern w:val="0"/>
          <w:sz w:val="28"/>
          <w:szCs w:val="28"/>
        </w:rPr>
        <w:br/>
        <w:t xml:space="preserve">　　4.各中介机构工作协调情况及存在问题；</w:t>
      </w:r>
      <w:r w:rsidRPr="003552CE">
        <w:rPr>
          <w:rFonts w:ascii="楷体" w:eastAsia="楷体" w:hAnsi="楷体" w:cs="宋体" w:hint="eastAsia"/>
          <w:color w:val="333333"/>
          <w:kern w:val="0"/>
          <w:sz w:val="28"/>
          <w:szCs w:val="28"/>
        </w:rPr>
        <w:br/>
        <w:t xml:space="preserve">　　5.对资本市场趋势变化分析；</w:t>
      </w:r>
      <w:r w:rsidRPr="003552CE">
        <w:rPr>
          <w:rFonts w:ascii="楷体" w:eastAsia="楷体" w:hAnsi="楷体" w:cs="宋体" w:hint="eastAsia"/>
          <w:color w:val="333333"/>
          <w:kern w:val="0"/>
          <w:sz w:val="28"/>
          <w:szCs w:val="28"/>
        </w:rPr>
        <w:br/>
        <w:t xml:space="preserve">　　6.定价底线是否高于评估值。</w:t>
      </w:r>
      <w:r w:rsidRPr="003552CE">
        <w:rPr>
          <w:rFonts w:ascii="楷体" w:eastAsia="楷体" w:hAnsi="楷体" w:cs="宋体" w:hint="eastAsia"/>
          <w:color w:val="333333"/>
          <w:kern w:val="0"/>
          <w:sz w:val="28"/>
          <w:szCs w:val="28"/>
        </w:rPr>
        <w:br/>
        <w:t xml:space="preserve">　　（八）其他需汇报的情况。</w:t>
      </w:r>
      <w:r w:rsidRPr="003552CE">
        <w:rPr>
          <w:rFonts w:ascii="楷体" w:eastAsia="楷体" w:hAnsi="楷体" w:cs="宋体" w:hint="eastAsia"/>
          <w:color w:val="333333"/>
          <w:kern w:val="0"/>
          <w:sz w:val="28"/>
          <w:szCs w:val="28"/>
        </w:rPr>
        <w:br/>
        <w:t xml:space="preserve">　　第八条</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国资委聘请的专家应当遵守国家有关法律、法规及国资委工作要求，并签署保密承诺函。专家应当独立开展审核工作，重点对下列事项进行审核：</w:t>
      </w:r>
      <w:r w:rsidRPr="003552CE">
        <w:rPr>
          <w:rFonts w:ascii="楷体" w:eastAsia="楷体" w:hAnsi="楷体" w:cs="宋体" w:hint="eastAsia"/>
          <w:color w:val="333333"/>
          <w:kern w:val="0"/>
          <w:sz w:val="28"/>
          <w:szCs w:val="28"/>
        </w:rPr>
        <w:br/>
        <w:t xml:space="preserve">　　（一）评估基准日的选择是否适当，评估结果的使用有效期是否明示。重点审查评估基准日的选择是否符合有关评估准则的规定要求等。</w:t>
      </w:r>
      <w:r w:rsidRPr="003552CE">
        <w:rPr>
          <w:rFonts w:ascii="楷体" w:eastAsia="楷体" w:hAnsi="楷体" w:cs="宋体" w:hint="eastAsia"/>
          <w:color w:val="333333"/>
          <w:kern w:val="0"/>
          <w:sz w:val="28"/>
          <w:szCs w:val="28"/>
        </w:rPr>
        <w:br/>
        <w:t xml:space="preserve">　　（二）资产评估范围与经济行为批准文件确定的资产范围是否一致。</w:t>
      </w:r>
      <w:r w:rsidRPr="003552CE">
        <w:rPr>
          <w:rFonts w:ascii="楷体" w:eastAsia="楷体" w:hAnsi="楷体" w:cs="宋体" w:hint="eastAsia"/>
          <w:color w:val="333333"/>
          <w:kern w:val="0"/>
          <w:sz w:val="28"/>
          <w:szCs w:val="28"/>
        </w:rPr>
        <w:br/>
        <w:t xml:space="preserve">　　（三）评估方法运用是否合理。重点审核评估方法是否符合相关评估准则的规定要求，评估方法及技术参数选取是否合理等。</w:t>
      </w:r>
      <w:r w:rsidRPr="003552CE">
        <w:rPr>
          <w:rFonts w:ascii="楷体" w:eastAsia="楷体" w:hAnsi="楷体" w:cs="宋体" w:hint="eastAsia"/>
          <w:color w:val="333333"/>
          <w:kern w:val="0"/>
          <w:sz w:val="28"/>
          <w:szCs w:val="28"/>
        </w:rPr>
        <w:br/>
        <w:t xml:space="preserve">　　（四）评估依据是否适当。重点审核评估工作过程中所引用的法律法规和技术参数资料等是否适当。</w:t>
      </w:r>
      <w:r w:rsidRPr="003552CE">
        <w:rPr>
          <w:rFonts w:ascii="楷体" w:eastAsia="楷体" w:hAnsi="楷体" w:cs="宋体" w:hint="eastAsia"/>
          <w:color w:val="333333"/>
          <w:kern w:val="0"/>
          <w:sz w:val="28"/>
          <w:szCs w:val="28"/>
        </w:rPr>
        <w:br/>
        <w:t xml:space="preserve">　　（五）企业是否就所提供的资产权属证明文件、财务会计资料及生产经营管理资料的真实性、合法性和完整性作出承诺。</w:t>
      </w:r>
      <w:r w:rsidRPr="003552CE">
        <w:rPr>
          <w:rFonts w:ascii="楷体" w:eastAsia="楷体" w:hAnsi="楷体" w:cs="宋体" w:hint="eastAsia"/>
          <w:color w:val="333333"/>
          <w:kern w:val="0"/>
          <w:sz w:val="28"/>
          <w:szCs w:val="28"/>
        </w:rPr>
        <w:br/>
        <w:t xml:space="preserve">　　（六）评估过程是否符合相关评估准则的规定。重点审核评估机构在评估过程中是否履行了必要评估程序，评估过程是否完整，</w:t>
      </w:r>
      <w:r w:rsidRPr="003552CE">
        <w:rPr>
          <w:rFonts w:ascii="楷体" w:eastAsia="楷体" w:hAnsi="楷体" w:cs="宋体" w:hint="eastAsia"/>
          <w:color w:val="333333"/>
          <w:kern w:val="0"/>
          <w:sz w:val="28"/>
          <w:szCs w:val="28"/>
        </w:rPr>
        <w:lastRenderedPageBreak/>
        <w:t>是否存在未履行评估准则规定的必要评估步骤的行为等。</w:t>
      </w:r>
      <w:r w:rsidRPr="003552CE">
        <w:rPr>
          <w:rFonts w:ascii="楷体" w:eastAsia="楷体" w:hAnsi="楷体" w:cs="宋体" w:hint="eastAsia"/>
          <w:color w:val="333333"/>
          <w:kern w:val="0"/>
          <w:sz w:val="28"/>
          <w:szCs w:val="28"/>
        </w:rPr>
        <w:br/>
        <w:t xml:space="preserve">　　（七）评估报告是否符合《企业国有资产评估报告指南》规定要求。</w:t>
      </w:r>
      <w:r w:rsidRPr="003552CE">
        <w:rPr>
          <w:rFonts w:ascii="楷体" w:eastAsia="楷体" w:hAnsi="楷体" w:cs="宋体" w:hint="eastAsia"/>
          <w:color w:val="333333"/>
          <w:kern w:val="0"/>
          <w:sz w:val="28"/>
          <w:szCs w:val="28"/>
        </w:rPr>
        <w:br/>
        <w:t xml:space="preserve">　　第九条</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评估报告需经两名以上专家审核并独立提出意见。国资委组织专家与被审核企业及相关中介机构交换意见，被审核企业及相关中介机构应当就专家提出的审核意见作出解释和说明。企业的解释和说明达不到核准要求的，国资委将向企业提出审核意见。</w:t>
      </w:r>
      <w:r w:rsidRPr="003552CE">
        <w:rPr>
          <w:rFonts w:ascii="楷体" w:eastAsia="楷体" w:hAnsi="楷体" w:cs="宋体" w:hint="eastAsia"/>
          <w:color w:val="333333"/>
          <w:kern w:val="0"/>
          <w:sz w:val="28"/>
          <w:szCs w:val="28"/>
        </w:rPr>
        <w:br/>
        <w:t xml:space="preserve">　　第十条</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国资委向企业提出审核意见后，企业应当及时组织相关中介机构对评估、审计、土地、矿业权等报告进行补充完善，并将完善后的评估报告及审核意见的书面答复报送国资委。</w:t>
      </w:r>
      <w:r w:rsidRPr="003552CE">
        <w:rPr>
          <w:rFonts w:ascii="楷体" w:eastAsia="楷体" w:hAnsi="楷体" w:cs="宋体" w:hint="eastAsia"/>
          <w:color w:val="333333"/>
          <w:kern w:val="0"/>
          <w:sz w:val="28"/>
          <w:szCs w:val="28"/>
        </w:rPr>
        <w:br/>
        <w:t xml:space="preserve">　　第十一条</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国资委收到企业报送的答复意见及经修改的评估报告后，应当在5个工作日内组织专家召开复审会。</w:t>
      </w:r>
      <w:r w:rsidRPr="003552CE">
        <w:rPr>
          <w:rFonts w:ascii="楷体" w:eastAsia="楷体" w:hAnsi="楷体" w:cs="宋体" w:hint="eastAsia"/>
          <w:color w:val="333333"/>
          <w:kern w:val="0"/>
          <w:sz w:val="28"/>
          <w:szCs w:val="28"/>
        </w:rPr>
        <w:br/>
        <w:t xml:space="preserve">　　第十二条</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经审核符合本指引第八条规定的核准要求的，国资委应当在10个工作日内完成对评估报告的核准批复。</w:t>
      </w:r>
      <w:r w:rsidRPr="003552CE">
        <w:rPr>
          <w:rFonts w:ascii="楷体" w:eastAsia="楷体" w:hAnsi="楷体" w:cs="宋体" w:hint="eastAsia"/>
          <w:color w:val="333333"/>
          <w:kern w:val="0"/>
          <w:sz w:val="28"/>
          <w:szCs w:val="28"/>
        </w:rPr>
        <w:br/>
        <w:t xml:space="preserve">　　第十三条</w:t>
      </w:r>
      <w:r w:rsidRPr="003552CE">
        <w:rPr>
          <w:rFonts w:ascii="Calibri" w:eastAsia="楷体" w:hAnsi="Calibri" w:cs="Calibri"/>
          <w:color w:val="333333"/>
          <w:kern w:val="0"/>
          <w:sz w:val="28"/>
          <w:szCs w:val="28"/>
        </w:rPr>
        <w:t>  </w:t>
      </w:r>
      <w:r w:rsidRPr="003552CE">
        <w:rPr>
          <w:rFonts w:ascii="楷体" w:eastAsia="楷体" w:hAnsi="楷体" w:cs="宋体" w:hint="eastAsia"/>
          <w:color w:val="333333"/>
          <w:kern w:val="0"/>
          <w:sz w:val="28"/>
          <w:szCs w:val="28"/>
        </w:rPr>
        <w:t>本指引自印发之日起施行。</w:t>
      </w:r>
    </w:p>
    <w:p w:rsidR="0042053C" w:rsidRPr="003552CE" w:rsidRDefault="0042053C" w:rsidP="0042053C">
      <w:pPr>
        <w:widowControl/>
        <w:jc w:val="center"/>
        <w:rPr>
          <w:rFonts w:ascii="楷体" w:eastAsia="楷体" w:hAnsi="楷体" w:cs="宋体"/>
          <w:color w:val="333333"/>
          <w:kern w:val="0"/>
          <w:sz w:val="28"/>
          <w:szCs w:val="28"/>
        </w:rPr>
      </w:pPr>
    </w:p>
    <w:bookmarkEnd w:id="0"/>
    <w:p w:rsidR="007A7CB7" w:rsidRPr="003552CE" w:rsidRDefault="007A7CB7">
      <w:pPr>
        <w:rPr>
          <w:rFonts w:ascii="楷体" w:eastAsia="楷体" w:hAnsi="楷体"/>
          <w:sz w:val="28"/>
          <w:szCs w:val="28"/>
        </w:rPr>
      </w:pPr>
    </w:p>
    <w:sectPr w:rsidR="007A7CB7" w:rsidRPr="003552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0B9" w:rsidRDefault="004820B9" w:rsidP="0042053C">
      <w:r>
        <w:separator/>
      </w:r>
    </w:p>
  </w:endnote>
  <w:endnote w:type="continuationSeparator" w:id="0">
    <w:p w:rsidR="004820B9" w:rsidRDefault="004820B9" w:rsidP="00420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0B9" w:rsidRDefault="004820B9" w:rsidP="0042053C">
      <w:r>
        <w:separator/>
      </w:r>
    </w:p>
  </w:footnote>
  <w:footnote w:type="continuationSeparator" w:id="0">
    <w:p w:rsidR="004820B9" w:rsidRDefault="004820B9" w:rsidP="004205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574"/>
    <w:rsid w:val="00027D67"/>
    <w:rsid w:val="00030A9C"/>
    <w:rsid w:val="00033125"/>
    <w:rsid w:val="00041C70"/>
    <w:rsid w:val="000516F1"/>
    <w:rsid w:val="00055698"/>
    <w:rsid w:val="00060702"/>
    <w:rsid w:val="0006797E"/>
    <w:rsid w:val="00083888"/>
    <w:rsid w:val="00096288"/>
    <w:rsid w:val="000E0380"/>
    <w:rsid w:val="000E24FD"/>
    <w:rsid w:val="000E5852"/>
    <w:rsid w:val="00103C52"/>
    <w:rsid w:val="00112BE8"/>
    <w:rsid w:val="0011408A"/>
    <w:rsid w:val="00124E48"/>
    <w:rsid w:val="00125728"/>
    <w:rsid w:val="00126429"/>
    <w:rsid w:val="00132159"/>
    <w:rsid w:val="00135D23"/>
    <w:rsid w:val="00151C90"/>
    <w:rsid w:val="0015551B"/>
    <w:rsid w:val="00175450"/>
    <w:rsid w:val="001819A2"/>
    <w:rsid w:val="00181E79"/>
    <w:rsid w:val="001849A6"/>
    <w:rsid w:val="00197F46"/>
    <w:rsid w:val="001A0B23"/>
    <w:rsid w:val="001B2E6A"/>
    <w:rsid w:val="001F1E32"/>
    <w:rsid w:val="001F3F47"/>
    <w:rsid w:val="00250CA6"/>
    <w:rsid w:val="00282062"/>
    <w:rsid w:val="00283A96"/>
    <w:rsid w:val="002957E8"/>
    <w:rsid w:val="002E2748"/>
    <w:rsid w:val="002F1A59"/>
    <w:rsid w:val="002F39B7"/>
    <w:rsid w:val="00300A62"/>
    <w:rsid w:val="00311829"/>
    <w:rsid w:val="003176A2"/>
    <w:rsid w:val="003552CE"/>
    <w:rsid w:val="003751C1"/>
    <w:rsid w:val="0038022B"/>
    <w:rsid w:val="00387842"/>
    <w:rsid w:val="003A18A8"/>
    <w:rsid w:val="003C32A0"/>
    <w:rsid w:val="003E3C78"/>
    <w:rsid w:val="003E43D1"/>
    <w:rsid w:val="003E5EF9"/>
    <w:rsid w:val="003F0FB7"/>
    <w:rsid w:val="00405574"/>
    <w:rsid w:val="0042053C"/>
    <w:rsid w:val="00436346"/>
    <w:rsid w:val="00441415"/>
    <w:rsid w:val="004663FD"/>
    <w:rsid w:val="00475CFE"/>
    <w:rsid w:val="004820B9"/>
    <w:rsid w:val="00494D2D"/>
    <w:rsid w:val="004A64AE"/>
    <w:rsid w:val="004E5998"/>
    <w:rsid w:val="004F03AC"/>
    <w:rsid w:val="004F2F17"/>
    <w:rsid w:val="00524330"/>
    <w:rsid w:val="005358FF"/>
    <w:rsid w:val="0055308E"/>
    <w:rsid w:val="005B1F06"/>
    <w:rsid w:val="005C5017"/>
    <w:rsid w:val="005C52E7"/>
    <w:rsid w:val="005D017A"/>
    <w:rsid w:val="005D4D31"/>
    <w:rsid w:val="005E7A6B"/>
    <w:rsid w:val="005F24D2"/>
    <w:rsid w:val="005F3A4E"/>
    <w:rsid w:val="005F457B"/>
    <w:rsid w:val="005F74B0"/>
    <w:rsid w:val="00600AF0"/>
    <w:rsid w:val="00602C6F"/>
    <w:rsid w:val="00603D92"/>
    <w:rsid w:val="006163C9"/>
    <w:rsid w:val="00622407"/>
    <w:rsid w:val="00647ED6"/>
    <w:rsid w:val="0068093E"/>
    <w:rsid w:val="006907CF"/>
    <w:rsid w:val="006A0EA7"/>
    <w:rsid w:val="006B783F"/>
    <w:rsid w:val="006D1D53"/>
    <w:rsid w:val="006E38DE"/>
    <w:rsid w:val="006E7794"/>
    <w:rsid w:val="00711F8E"/>
    <w:rsid w:val="007444DF"/>
    <w:rsid w:val="00744C26"/>
    <w:rsid w:val="0076686C"/>
    <w:rsid w:val="00771F9C"/>
    <w:rsid w:val="00774F82"/>
    <w:rsid w:val="007872A3"/>
    <w:rsid w:val="00795B79"/>
    <w:rsid w:val="00797AD1"/>
    <w:rsid w:val="007A7CB7"/>
    <w:rsid w:val="007B1390"/>
    <w:rsid w:val="00805AF7"/>
    <w:rsid w:val="00816867"/>
    <w:rsid w:val="00820DFE"/>
    <w:rsid w:val="008265FE"/>
    <w:rsid w:val="00837555"/>
    <w:rsid w:val="008448F5"/>
    <w:rsid w:val="008763E6"/>
    <w:rsid w:val="008A150A"/>
    <w:rsid w:val="008C1165"/>
    <w:rsid w:val="008C2C5D"/>
    <w:rsid w:val="008D1FF9"/>
    <w:rsid w:val="008D3EBD"/>
    <w:rsid w:val="008E1517"/>
    <w:rsid w:val="008E779D"/>
    <w:rsid w:val="008F463A"/>
    <w:rsid w:val="0092426C"/>
    <w:rsid w:val="00925F60"/>
    <w:rsid w:val="00927225"/>
    <w:rsid w:val="009326D2"/>
    <w:rsid w:val="00945D57"/>
    <w:rsid w:val="009507FF"/>
    <w:rsid w:val="009674F7"/>
    <w:rsid w:val="009A77D4"/>
    <w:rsid w:val="009A7CDC"/>
    <w:rsid w:val="009C1ABA"/>
    <w:rsid w:val="009E520D"/>
    <w:rsid w:val="009F4E3E"/>
    <w:rsid w:val="00A1036D"/>
    <w:rsid w:val="00A13BDB"/>
    <w:rsid w:val="00A33B1F"/>
    <w:rsid w:val="00A375EC"/>
    <w:rsid w:val="00A61592"/>
    <w:rsid w:val="00A73D4C"/>
    <w:rsid w:val="00A76569"/>
    <w:rsid w:val="00A774FB"/>
    <w:rsid w:val="00A832C0"/>
    <w:rsid w:val="00A85E1A"/>
    <w:rsid w:val="00A864A6"/>
    <w:rsid w:val="00A91465"/>
    <w:rsid w:val="00AB23E3"/>
    <w:rsid w:val="00AB58B8"/>
    <w:rsid w:val="00AC462A"/>
    <w:rsid w:val="00AD1A21"/>
    <w:rsid w:val="00AE4DBD"/>
    <w:rsid w:val="00AF31A3"/>
    <w:rsid w:val="00AF7BC2"/>
    <w:rsid w:val="00B01517"/>
    <w:rsid w:val="00B13E03"/>
    <w:rsid w:val="00B21A3C"/>
    <w:rsid w:val="00B21E8E"/>
    <w:rsid w:val="00B25557"/>
    <w:rsid w:val="00B31498"/>
    <w:rsid w:val="00B63735"/>
    <w:rsid w:val="00B6740F"/>
    <w:rsid w:val="00B72AC4"/>
    <w:rsid w:val="00B77899"/>
    <w:rsid w:val="00B91DEB"/>
    <w:rsid w:val="00B92772"/>
    <w:rsid w:val="00BA46B4"/>
    <w:rsid w:val="00BC43E0"/>
    <w:rsid w:val="00BF1BE1"/>
    <w:rsid w:val="00C06561"/>
    <w:rsid w:val="00C141BE"/>
    <w:rsid w:val="00C14737"/>
    <w:rsid w:val="00C27383"/>
    <w:rsid w:val="00C276D0"/>
    <w:rsid w:val="00C4354A"/>
    <w:rsid w:val="00C46346"/>
    <w:rsid w:val="00C6645D"/>
    <w:rsid w:val="00C83965"/>
    <w:rsid w:val="00C9787E"/>
    <w:rsid w:val="00CC5C9A"/>
    <w:rsid w:val="00CD0211"/>
    <w:rsid w:val="00CD5C01"/>
    <w:rsid w:val="00CE125A"/>
    <w:rsid w:val="00D120AB"/>
    <w:rsid w:val="00D1395C"/>
    <w:rsid w:val="00D26F1C"/>
    <w:rsid w:val="00D30F51"/>
    <w:rsid w:val="00D320C0"/>
    <w:rsid w:val="00D34112"/>
    <w:rsid w:val="00D46AC6"/>
    <w:rsid w:val="00D5130E"/>
    <w:rsid w:val="00D52473"/>
    <w:rsid w:val="00D62FDA"/>
    <w:rsid w:val="00D70594"/>
    <w:rsid w:val="00D72224"/>
    <w:rsid w:val="00D80E0E"/>
    <w:rsid w:val="00D825EF"/>
    <w:rsid w:val="00D907ED"/>
    <w:rsid w:val="00D93D69"/>
    <w:rsid w:val="00D97F84"/>
    <w:rsid w:val="00DA71F2"/>
    <w:rsid w:val="00DB6311"/>
    <w:rsid w:val="00DC3E02"/>
    <w:rsid w:val="00DC4D61"/>
    <w:rsid w:val="00DE79BC"/>
    <w:rsid w:val="00DF1A6D"/>
    <w:rsid w:val="00DF3E03"/>
    <w:rsid w:val="00E1255F"/>
    <w:rsid w:val="00E30574"/>
    <w:rsid w:val="00E328FE"/>
    <w:rsid w:val="00E33A3F"/>
    <w:rsid w:val="00E44B6B"/>
    <w:rsid w:val="00E52CC0"/>
    <w:rsid w:val="00E62EC8"/>
    <w:rsid w:val="00E874A1"/>
    <w:rsid w:val="00E92084"/>
    <w:rsid w:val="00E956EE"/>
    <w:rsid w:val="00EA683B"/>
    <w:rsid w:val="00EA7D4A"/>
    <w:rsid w:val="00EC06D0"/>
    <w:rsid w:val="00ED1557"/>
    <w:rsid w:val="00F0226A"/>
    <w:rsid w:val="00F066D2"/>
    <w:rsid w:val="00F068A1"/>
    <w:rsid w:val="00F15273"/>
    <w:rsid w:val="00F15AA9"/>
    <w:rsid w:val="00F33534"/>
    <w:rsid w:val="00F66A17"/>
    <w:rsid w:val="00F70AA9"/>
    <w:rsid w:val="00F70B11"/>
    <w:rsid w:val="00F73CE8"/>
    <w:rsid w:val="00F873E5"/>
    <w:rsid w:val="00F876AA"/>
    <w:rsid w:val="00FA0D0C"/>
    <w:rsid w:val="00FA7C18"/>
    <w:rsid w:val="00FB6F6F"/>
    <w:rsid w:val="00FD23FB"/>
    <w:rsid w:val="00FD4022"/>
    <w:rsid w:val="00FF6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4740D87-3B30-4E13-83F8-EC659EE1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05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053C"/>
    <w:rPr>
      <w:sz w:val="18"/>
      <w:szCs w:val="18"/>
    </w:rPr>
  </w:style>
  <w:style w:type="paragraph" w:styleId="a4">
    <w:name w:val="footer"/>
    <w:basedOn w:val="a"/>
    <w:link w:val="Char0"/>
    <w:uiPriority w:val="99"/>
    <w:unhideWhenUsed/>
    <w:rsid w:val="0042053C"/>
    <w:pPr>
      <w:tabs>
        <w:tab w:val="center" w:pos="4153"/>
        <w:tab w:val="right" w:pos="8306"/>
      </w:tabs>
      <w:snapToGrid w:val="0"/>
      <w:jc w:val="left"/>
    </w:pPr>
    <w:rPr>
      <w:sz w:val="18"/>
      <w:szCs w:val="18"/>
    </w:rPr>
  </w:style>
  <w:style w:type="character" w:customStyle="1" w:styleId="Char0">
    <w:name w:val="页脚 Char"/>
    <w:basedOn w:val="a0"/>
    <w:link w:val="a4"/>
    <w:uiPriority w:val="99"/>
    <w:rsid w:val="0042053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84782">
      <w:bodyDiv w:val="1"/>
      <w:marLeft w:val="0"/>
      <w:marRight w:val="0"/>
      <w:marTop w:val="0"/>
      <w:marBottom w:val="0"/>
      <w:divBdr>
        <w:top w:val="none" w:sz="0" w:space="0" w:color="auto"/>
        <w:left w:val="none" w:sz="0" w:space="0" w:color="auto"/>
        <w:bottom w:val="none" w:sz="0" w:space="0" w:color="auto"/>
        <w:right w:val="none" w:sz="0" w:space="0" w:color="auto"/>
      </w:divBdr>
      <w:divsChild>
        <w:div w:id="1614553961">
          <w:marLeft w:val="0"/>
          <w:marRight w:val="0"/>
          <w:marTop w:val="0"/>
          <w:marBottom w:val="0"/>
          <w:divBdr>
            <w:top w:val="none" w:sz="0" w:space="0" w:color="auto"/>
            <w:left w:val="none" w:sz="0" w:space="0" w:color="auto"/>
            <w:bottom w:val="none" w:sz="0" w:space="0" w:color="auto"/>
            <w:right w:val="none" w:sz="0" w:space="0" w:color="auto"/>
          </w:divBdr>
          <w:divsChild>
            <w:div w:id="146180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564</Words>
  <Characters>3218</Characters>
  <Application>Microsoft Office Word</Application>
  <DocSecurity>0</DocSecurity>
  <Lines>26</Lines>
  <Paragraphs>7</Paragraphs>
  <ScaleCrop>false</ScaleCrop>
  <Company/>
  <LinksUpToDate>false</LinksUpToDate>
  <CharactersWithSpaces>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2016-09-09T08:49:00Z</dcterms:created>
  <dcterms:modified xsi:type="dcterms:W3CDTF">2016-10-09T07:37:00Z</dcterms:modified>
</cp:coreProperties>
</file>