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66B" w:rsidRPr="007318F7" w:rsidRDefault="00EF266B" w:rsidP="007318F7">
      <w:pPr>
        <w:widowControl/>
        <w:jc w:val="center"/>
        <w:rPr>
          <w:rFonts w:ascii="仿宋_GB2312" w:eastAsia="仿宋_GB2312" w:hAnsi="宋体" w:cs="宋体"/>
          <w:kern w:val="0"/>
          <w:sz w:val="28"/>
          <w:szCs w:val="21"/>
        </w:rPr>
      </w:pPr>
      <w:r w:rsidRPr="007318F7">
        <w:rPr>
          <w:rFonts w:ascii="仿宋_GB2312" w:eastAsia="仿宋_GB2312" w:hAnsi="宋体" w:cs="宋体" w:hint="eastAsia"/>
          <w:b/>
          <w:bCs/>
          <w:kern w:val="0"/>
          <w:sz w:val="28"/>
        </w:rPr>
        <w:t>财政部关于上市公司国有股被人民法院冻结、拍卖有关问题的通知</w:t>
      </w:r>
    </w:p>
    <w:p w:rsidR="00E2139B" w:rsidRPr="00E2139B" w:rsidRDefault="00EF266B" w:rsidP="007318F7">
      <w:pPr>
        <w:widowControl/>
        <w:jc w:val="center"/>
        <w:rPr>
          <w:rFonts w:ascii="仿宋_GB2312" w:eastAsia="仿宋_GB2312" w:hAnsi="宋体" w:cs="宋体" w:hint="eastAsia"/>
          <w:kern w:val="0"/>
          <w:sz w:val="28"/>
          <w:szCs w:val="21"/>
          <w:u w:val="single"/>
        </w:rPr>
      </w:pPr>
      <w:r w:rsidRPr="007318F7">
        <w:rPr>
          <w:rFonts w:ascii="仿宋_GB2312" w:eastAsia="仿宋_GB2312" w:hAnsi="宋体" w:cs="宋体" w:hint="eastAsia"/>
          <w:b/>
          <w:bCs/>
          <w:kern w:val="0"/>
          <w:sz w:val="28"/>
        </w:rPr>
        <w:t>财企［２００１］６５６号</w:t>
      </w:r>
      <w:r w:rsidRPr="007318F7">
        <w:rPr>
          <w:rFonts w:ascii="仿宋_GB2312" w:eastAsia="仿宋_GB2312" w:hAnsi="宋体" w:cs="宋体" w:hint="eastAsia"/>
          <w:kern w:val="0"/>
          <w:sz w:val="28"/>
          <w:szCs w:val="21"/>
        </w:rPr>
        <w:br/>
      </w:r>
      <w:r w:rsidRPr="00EF266B">
        <w:rPr>
          <w:rFonts w:ascii="仿宋_GB2312" w:eastAsia="仿宋_GB2312" w:hAnsi="宋体" w:cs="宋体" w:hint="eastAsia"/>
          <w:kern w:val="0"/>
          <w:sz w:val="28"/>
          <w:szCs w:val="21"/>
        </w:rPr>
        <w:t xml:space="preserve">国务院有关部委，各省、自治区、直辖市、计划单列市财政厅（局），上海市、深圳市国有资产管理办公室，中央管理企业，中国人民解放军总后勤部，新疆生产建设兵团财务局，上海证券交易所，深圳证券交易所： </w:t>
      </w:r>
      <w:r w:rsidRPr="00EF266B">
        <w:rPr>
          <w:rFonts w:ascii="仿宋_GB2312" w:eastAsia="仿宋_GB2312" w:hAnsi="宋体" w:cs="宋体" w:hint="eastAsia"/>
          <w:kern w:val="0"/>
          <w:sz w:val="28"/>
          <w:szCs w:val="21"/>
        </w:rPr>
        <w:br/>
        <w:t xml:space="preserve">　　为进一步完善国有股权管理工作，提高国有股东授权代表单位的风险防范意识，切实加强国有股权的监管，维护债权人和其他当事人的合法权益，现就上市公司国有股被人民法院冻结、拍卖的有关问题通知如下： </w:t>
      </w:r>
      <w:r w:rsidRPr="00EF266B">
        <w:rPr>
          <w:rFonts w:ascii="仿宋_GB2312" w:eastAsia="仿宋_GB2312" w:hAnsi="宋体" w:cs="宋体" w:hint="eastAsia"/>
          <w:kern w:val="0"/>
          <w:sz w:val="28"/>
          <w:szCs w:val="21"/>
        </w:rPr>
        <w:br/>
        <w:t xml:space="preserve">　　一、国有股东授权代表单位应当依法行使股东权利，履行国家规定的职责，建立健全内部资金管理制度，明确资金调度的权限和程序，控制负债规模并改善债务结构，注意防范财务风险。 </w:t>
      </w:r>
      <w:r w:rsidRPr="00EF266B">
        <w:rPr>
          <w:rFonts w:ascii="仿宋_GB2312" w:eastAsia="仿宋_GB2312" w:hAnsi="宋体" w:cs="宋体" w:hint="eastAsia"/>
          <w:kern w:val="0"/>
          <w:sz w:val="28"/>
          <w:szCs w:val="21"/>
        </w:rPr>
        <w:br/>
        <w:t xml:space="preserve">　　</w:t>
      </w:r>
      <w:r w:rsidRPr="00385317">
        <w:rPr>
          <w:rFonts w:ascii="仿宋_GB2312" w:eastAsia="仿宋_GB2312" w:hAnsi="宋体" w:cs="宋体" w:hint="eastAsia"/>
          <w:kern w:val="0"/>
          <w:sz w:val="28"/>
          <w:szCs w:val="21"/>
          <w:u w:val="single"/>
        </w:rPr>
        <w:t xml:space="preserve">国有股东授权代表单位确需通过国有股质押融资时，应当建立严格的审核程序和责任追究制度，并以质押贷款项目进行周密的可行性论证，用于质押的国有股数量不得超过其所持该上市公司国有股总额的５０％。 </w:t>
      </w:r>
      <w:r w:rsidRPr="00EF266B">
        <w:rPr>
          <w:rFonts w:ascii="仿宋_GB2312" w:eastAsia="仿宋_GB2312" w:hAnsi="宋体" w:cs="宋体" w:hint="eastAsia"/>
          <w:kern w:val="0"/>
          <w:sz w:val="28"/>
          <w:szCs w:val="21"/>
        </w:rPr>
        <w:br/>
        <w:t xml:space="preserve">　　</w:t>
      </w:r>
      <w:r w:rsidRPr="00385317">
        <w:rPr>
          <w:rFonts w:ascii="仿宋_GB2312" w:eastAsia="仿宋_GB2312" w:hAnsi="宋体" w:cs="宋体" w:hint="eastAsia"/>
          <w:b/>
          <w:kern w:val="0"/>
          <w:sz w:val="28"/>
          <w:szCs w:val="21"/>
          <w:u w:val="single"/>
        </w:rPr>
        <w:t>国有股东授权代表单位确需对外提供担保时，应当遵守《中华人民共和国</w:t>
      </w:r>
      <w:hyperlink r:id="rId6" w:tgtFrame="_blank" w:history="1">
        <w:r w:rsidRPr="00385317">
          <w:rPr>
            <w:rFonts w:ascii="仿宋_GB2312" w:eastAsia="仿宋_GB2312" w:hAnsi="宋体" w:cs="宋体" w:hint="eastAsia"/>
            <w:b/>
            <w:color w:val="0000FF"/>
            <w:kern w:val="0"/>
            <w:sz w:val="28"/>
            <w:szCs w:val="21"/>
            <w:u w:val="single"/>
          </w:rPr>
          <w:t>担保法</w:t>
        </w:r>
      </w:hyperlink>
      <w:r w:rsidRPr="00385317">
        <w:rPr>
          <w:rFonts w:ascii="仿宋_GB2312" w:eastAsia="仿宋_GB2312" w:hAnsi="宋体" w:cs="宋体" w:hint="eastAsia"/>
          <w:b/>
          <w:kern w:val="0"/>
          <w:sz w:val="28"/>
          <w:szCs w:val="21"/>
          <w:u w:val="single"/>
        </w:rPr>
        <w:t>》的规定，充分考虑被担保单位的资信和偿债能力，并按内部管理制度规定的程序、权限审议决定。</w:t>
      </w:r>
      <w:r w:rsidRPr="00EF266B">
        <w:rPr>
          <w:rFonts w:ascii="仿宋_GB2312" w:eastAsia="仿宋_GB2312" w:hAnsi="宋体" w:cs="宋体" w:hint="eastAsia"/>
          <w:kern w:val="0"/>
          <w:sz w:val="28"/>
          <w:szCs w:val="21"/>
        </w:rPr>
        <w:t xml:space="preserve"> </w:t>
      </w:r>
      <w:r w:rsidRPr="00EF266B">
        <w:rPr>
          <w:rFonts w:ascii="仿宋_GB2312" w:eastAsia="仿宋_GB2312" w:hAnsi="宋体" w:cs="宋体" w:hint="eastAsia"/>
          <w:kern w:val="0"/>
          <w:sz w:val="28"/>
          <w:szCs w:val="21"/>
        </w:rPr>
        <w:br/>
        <w:t xml:space="preserve">　　二、国有股东授权代表单位所持国有股被人民法院司法冻结的，应当在接到人民法院冻结其所持国有股通知之日起５个工作日内，将</w:t>
      </w:r>
      <w:r w:rsidRPr="00EF266B">
        <w:rPr>
          <w:rFonts w:ascii="仿宋_GB2312" w:eastAsia="仿宋_GB2312" w:hAnsi="宋体" w:cs="宋体" w:hint="eastAsia"/>
          <w:kern w:val="0"/>
          <w:sz w:val="28"/>
          <w:szCs w:val="21"/>
        </w:rPr>
        <w:lastRenderedPageBreak/>
        <w:t>该国有股被冻结的情况报财政部备案，并通知上市公司。</w:t>
      </w:r>
      <w:r w:rsidRPr="002245AB">
        <w:rPr>
          <w:rFonts w:ascii="仿宋_GB2312" w:eastAsia="仿宋_GB2312" w:hAnsi="宋体" w:cs="宋体" w:hint="eastAsia"/>
          <w:kern w:val="0"/>
          <w:sz w:val="28"/>
          <w:szCs w:val="21"/>
          <w:u w:val="single"/>
        </w:rPr>
        <w:t>国有股东授权代表单位属地方管理的，同时抄报省级财政机关。</w:t>
      </w:r>
      <w:r w:rsidRPr="00EF266B">
        <w:rPr>
          <w:rFonts w:ascii="仿宋_GB2312" w:eastAsia="仿宋_GB2312" w:hAnsi="宋体" w:cs="宋体" w:hint="eastAsia"/>
          <w:kern w:val="0"/>
          <w:sz w:val="28"/>
          <w:szCs w:val="21"/>
        </w:rPr>
        <w:t xml:space="preserve"> </w:t>
      </w:r>
      <w:r w:rsidRPr="00EF266B">
        <w:rPr>
          <w:rFonts w:ascii="仿宋_GB2312" w:eastAsia="仿宋_GB2312" w:hAnsi="宋体" w:cs="宋体" w:hint="eastAsia"/>
          <w:kern w:val="0"/>
          <w:sz w:val="28"/>
          <w:szCs w:val="21"/>
        </w:rPr>
        <w:br/>
        <w:t xml:space="preserve">　　国有股东授权代表单位对冻结裁定持有异议的，应当及时向</w:t>
      </w:r>
      <w:proofErr w:type="gramStart"/>
      <w:r w:rsidRPr="00EF266B">
        <w:rPr>
          <w:rFonts w:ascii="仿宋_GB2312" w:eastAsia="仿宋_GB2312" w:hAnsi="宋体" w:cs="宋体" w:hint="eastAsia"/>
          <w:kern w:val="0"/>
          <w:sz w:val="28"/>
          <w:szCs w:val="21"/>
        </w:rPr>
        <w:t>作出</w:t>
      </w:r>
      <w:proofErr w:type="gramEnd"/>
      <w:r w:rsidRPr="00EF266B">
        <w:rPr>
          <w:rFonts w:ascii="仿宋_GB2312" w:eastAsia="仿宋_GB2312" w:hAnsi="宋体" w:cs="宋体" w:hint="eastAsia"/>
          <w:kern w:val="0"/>
          <w:sz w:val="28"/>
          <w:szCs w:val="21"/>
        </w:rPr>
        <w:t>冻结裁定的人民法院申请复议；人民法院依法</w:t>
      </w:r>
      <w:proofErr w:type="gramStart"/>
      <w:r w:rsidRPr="00EF266B">
        <w:rPr>
          <w:rFonts w:ascii="仿宋_GB2312" w:eastAsia="仿宋_GB2312" w:hAnsi="宋体" w:cs="宋体" w:hint="eastAsia"/>
          <w:kern w:val="0"/>
          <w:sz w:val="28"/>
          <w:szCs w:val="21"/>
        </w:rPr>
        <w:t>作出</w:t>
      </w:r>
      <w:proofErr w:type="gramEnd"/>
      <w:r w:rsidRPr="00EF266B">
        <w:rPr>
          <w:rFonts w:ascii="仿宋_GB2312" w:eastAsia="仿宋_GB2312" w:hAnsi="宋体" w:cs="宋体" w:hint="eastAsia"/>
          <w:kern w:val="0"/>
          <w:sz w:val="28"/>
          <w:szCs w:val="21"/>
        </w:rPr>
        <w:t xml:space="preserve">解除冻结裁定后，国有股东授权代表单位应当在收到有关法律文书之日起５个工作日内，将该国有股解冻情况报财政部备案，并通知上市公司。国有股东授权代表单位属地方管理的，同时抄报省级财政机关。 </w:t>
      </w:r>
      <w:r w:rsidRPr="00EF266B">
        <w:rPr>
          <w:rFonts w:ascii="仿宋_GB2312" w:eastAsia="仿宋_GB2312" w:hAnsi="宋体" w:cs="宋体" w:hint="eastAsia"/>
          <w:kern w:val="0"/>
          <w:sz w:val="28"/>
          <w:szCs w:val="21"/>
        </w:rPr>
        <w:br/>
        <w:t xml:space="preserve">　　三</w:t>
      </w:r>
      <w:r w:rsidRPr="00E2139B">
        <w:rPr>
          <w:rFonts w:ascii="仿宋_GB2312" w:eastAsia="仿宋_GB2312" w:hAnsi="宋体" w:cs="宋体" w:hint="eastAsia"/>
          <w:kern w:val="0"/>
          <w:sz w:val="28"/>
          <w:szCs w:val="21"/>
          <w:u w:val="single"/>
        </w:rPr>
        <w:t>、国有股东授权代表单位所持国有股被冻结后，应当在规定的期限内提供</w:t>
      </w:r>
      <w:proofErr w:type="gramStart"/>
      <w:r w:rsidRPr="00E2139B">
        <w:rPr>
          <w:rFonts w:ascii="仿宋_GB2312" w:eastAsia="仿宋_GB2312" w:hAnsi="宋体" w:cs="宋体" w:hint="eastAsia"/>
          <w:kern w:val="0"/>
          <w:sz w:val="28"/>
          <w:szCs w:val="21"/>
          <w:u w:val="single"/>
        </w:rPr>
        <w:t>方便执行</w:t>
      </w:r>
      <w:proofErr w:type="gramEnd"/>
      <w:r w:rsidRPr="00E2139B">
        <w:rPr>
          <w:rFonts w:ascii="仿宋_GB2312" w:eastAsia="仿宋_GB2312" w:hAnsi="宋体" w:cs="宋体" w:hint="eastAsia"/>
          <w:kern w:val="0"/>
          <w:sz w:val="28"/>
          <w:szCs w:val="21"/>
          <w:u w:val="single"/>
        </w:rPr>
        <w:t>的其他财产，其他财产包括银行存款、现金、成品和半成品、原材料和交通工具等，其地财产不足以清偿债务的，由人民法院执行股权拍卖。</w:t>
      </w:r>
      <w:r w:rsidRPr="00EF266B">
        <w:rPr>
          <w:rFonts w:ascii="仿宋_GB2312" w:eastAsia="仿宋_GB2312" w:hAnsi="宋体" w:cs="宋体" w:hint="eastAsia"/>
          <w:kern w:val="0"/>
          <w:sz w:val="28"/>
          <w:szCs w:val="21"/>
        </w:rPr>
        <w:t xml:space="preserve"> </w:t>
      </w:r>
      <w:r w:rsidRPr="00EF266B">
        <w:rPr>
          <w:rFonts w:ascii="仿宋_GB2312" w:eastAsia="仿宋_GB2312" w:hAnsi="宋体" w:cs="宋体" w:hint="eastAsia"/>
          <w:kern w:val="0"/>
          <w:sz w:val="28"/>
          <w:szCs w:val="21"/>
        </w:rPr>
        <w:br/>
        <w:t xml:space="preserve">　　四、拍卖人受托拍卖国有股，应当于拍卖日前１０天在国务院证券监督管理部门指定披露上市公司信息的报刊上刊登上市公司国有股拍卖公告。 </w:t>
      </w:r>
      <w:r w:rsidRPr="00EF266B">
        <w:rPr>
          <w:rFonts w:ascii="仿宋_GB2312" w:eastAsia="仿宋_GB2312" w:hAnsi="宋体" w:cs="宋体" w:hint="eastAsia"/>
          <w:kern w:val="0"/>
          <w:sz w:val="28"/>
          <w:szCs w:val="21"/>
        </w:rPr>
        <w:br/>
        <w:t xml:space="preserve">　</w:t>
      </w:r>
      <w:r w:rsidRPr="00E2139B">
        <w:rPr>
          <w:rFonts w:ascii="仿宋_GB2312" w:eastAsia="仿宋_GB2312" w:hAnsi="宋体" w:cs="宋体" w:hint="eastAsia"/>
          <w:kern w:val="0"/>
          <w:sz w:val="28"/>
          <w:szCs w:val="21"/>
          <w:u w:val="double"/>
        </w:rPr>
        <w:t xml:space="preserve">　拍卖公告包括但不限于以下内容</w:t>
      </w:r>
      <w:r w:rsidRPr="00EF266B">
        <w:rPr>
          <w:rFonts w:ascii="仿宋_GB2312" w:eastAsia="仿宋_GB2312" w:hAnsi="宋体" w:cs="宋体" w:hint="eastAsia"/>
          <w:kern w:val="0"/>
          <w:sz w:val="28"/>
          <w:szCs w:val="21"/>
        </w:rPr>
        <w:t xml:space="preserve">：拍卖人、拍卖时间、地点、上市公司名称、代码、所属行业、主营业务、近３年业绩、前１０名股东持股情况、原持股单位、被拍卖的国有股数量、占总股本的比例、竞买人应具备的资格、参与竞买应具备的手续。 </w:t>
      </w:r>
      <w:r w:rsidRPr="00EF266B">
        <w:rPr>
          <w:rFonts w:ascii="仿宋_GB2312" w:eastAsia="仿宋_GB2312" w:hAnsi="宋体" w:cs="宋体" w:hint="eastAsia"/>
          <w:kern w:val="0"/>
          <w:sz w:val="28"/>
          <w:szCs w:val="21"/>
        </w:rPr>
        <w:br/>
        <w:t xml:space="preserve">　　五、</w:t>
      </w:r>
      <w:r w:rsidRPr="00E2139B">
        <w:rPr>
          <w:rFonts w:ascii="仿宋_GB2312" w:eastAsia="仿宋_GB2312" w:hAnsi="宋体" w:cs="宋体" w:hint="eastAsia"/>
          <w:kern w:val="0"/>
          <w:sz w:val="28"/>
          <w:szCs w:val="21"/>
          <w:u w:val="double"/>
        </w:rPr>
        <w:t xml:space="preserve">国有股拍卖必须确定保留价。当事人应当委托具有证券从业资格的评估机构对拟拍卖的国有股进行评估，并按评估结果确定保留价。 </w:t>
      </w:r>
      <w:r w:rsidRPr="00EF266B">
        <w:rPr>
          <w:rFonts w:ascii="仿宋_GB2312" w:eastAsia="仿宋_GB2312" w:hAnsi="宋体" w:cs="宋体" w:hint="eastAsia"/>
          <w:kern w:val="0"/>
          <w:sz w:val="28"/>
          <w:szCs w:val="21"/>
        </w:rPr>
        <w:br/>
        <w:t xml:space="preserve">　　评估结果确定后，评估机构应当在股权拍卖前将评估结果报财政</w:t>
      </w:r>
      <w:r w:rsidRPr="00EF266B">
        <w:rPr>
          <w:rFonts w:ascii="仿宋_GB2312" w:eastAsia="仿宋_GB2312" w:hAnsi="宋体" w:cs="宋体" w:hint="eastAsia"/>
          <w:kern w:val="0"/>
          <w:sz w:val="28"/>
          <w:szCs w:val="21"/>
        </w:rPr>
        <w:lastRenderedPageBreak/>
        <w:t xml:space="preserve">部备案。问有股东授权代表单位属地方管理的，同时抄报省级财政机关。 </w:t>
      </w:r>
      <w:r w:rsidRPr="00EF266B">
        <w:rPr>
          <w:rFonts w:ascii="仿宋_GB2312" w:eastAsia="仿宋_GB2312" w:hAnsi="宋体" w:cs="宋体" w:hint="eastAsia"/>
          <w:kern w:val="0"/>
          <w:sz w:val="28"/>
          <w:szCs w:val="21"/>
        </w:rPr>
        <w:br/>
        <w:t xml:space="preserve">　　六、</w:t>
      </w:r>
      <w:r w:rsidRPr="00E2139B">
        <w:rPr>
          <w:rFonts w:ascii="仿宋_GB2312" w:eastAsia="仿宋_GB2312" w:hAnsi="宋体" w:cs="宋体" w:hint="eastAsia"/>
          <w:kern w:val="0"/>
          <w:sz w:val="28"/>
          <w:szCs w:val="21"/>
          <w:u w:val="single"/>
        </w:rPr>
        <w:t xml:space="preserve">对国有股拍卖的保留价，有关当事人或知情人应当严格保密。第一次拍卖竞买入的最高应价未达到保留价时，应当继续拍卖，每次拍卖的保留价应当不低于前次保留价的９０％。第三次拍卖最高应价仍未达到保留价时，该应价不发生效力，拍卖机构应当中止国有股的拍卖。 </w:t>
      </w:r>
    </w:p>
    <w:p w:rsidR="00EF266B" w:rsidRPr="00EF266B" w:rsidRDefault="00E2139B" w:rsidP="007318F7">
      <w:pPr>
        <w:widowControl/>
        <w:jc w:val="center"/>
        <w:rPr>
          <w:rFonts w:ascii="仿宋_GB2312" w:eastAsia="仿宋_GB2312" w:hAnsi="宋体" w:cs="宋体"/>
          <w:kern w:val="0"/>
          <w:sz w:val="28"/>
          <w:szCs w:val="21"/>
        </w:rPr>
      </w:pPr>
      <w:r w:rsidRPr="00E2139B">
        <w:rPr>
          <w:rFonts w:ascii="仿宋_GB2312" w:eastAsia="仿宋_GB2312" w:hAnsi="宋体" w:cs="宋体" w:hint="eastAsia"/>
          <w:kern w:val="0"/>
          <w:sz w:val="28"/>
          <w:szCs w:val="21"/>
        </w:rPr>
        <w:t xml:space="preserve">    </w:t>
      </w:r>
      <w:r w:rsidR="00EF266B" w:rsidRPr="00E2139B">
        <w:rPr>
          <w:rFonts w:ascii="仿宋_GB2312" w:eastAsia="仿宋_GB2312" w:hAnsi="宋体" w:cs="宋体" w:hint="eastAsia"/>
          <w:kern w:val="0"/>
          <w:sz w:val="28"/>
          <w:szCs w:val="21"/>
          <w:u w:val="double"/>
        </w:rPr>
        <w:t xml:space="preserve">七、竞买人应当具备法律、行政法规规定的受让国有股的条件。 </w:t>
      </w:r>
      <w:r w:rsidR="00EF266B" w:rsidRPr="00E2139B">
        <w:rPr>
          <w:rFonts w:ascii="仿宋_GB2312" w:eastAsia="仿宋_GB2312" w:hAnsi="宋体" w:cs="宋体" w:hint="eastAsia"/>
          <w:kern w:val="0"/>
          <w:sz w:val="28"/>
          <w:szCs w:val="21"/>
          <w:u w:val="double"/>
        </w:rPr>
        <w:br/>
      </w:r>
      <w:r w:rsidR="00EF266B" w:rsidRPr="00EF266B">
        <w:rPr>
          <w:rFonts w:ascii="仿宋_GB2312" w:eastAsia="仿宋_GB2312" w:hAnsi="宋体" w:cs="宋体" w:hint="eastAsia"/>
          <w:kern w:val="0"/>
          <w:sz w:val="28"/>
          <w:szCs w:val="21"/>
        </w:rPr>
        <w:t xml:space="preserve">　　八、拍卖成交后，国有股东授权代表单位应当在接到人民法院关于其所持国有股拍卖结果通知之日起５个工作日内，将该国有股被拍卖情况报财政部备案，并通知上市公司。国有股东授权代表单位属地方管理的，同时抄报省级财政机关。 </w:t>
      </w:r>
      <w:r w:rsidR="00EF266B" w:rsidRPr="00EF266B">
        <w:rPr>
          <w:rFonts w:ascii="仿宋_GB2312" w:eastAsia="仿宋_GB2312" w:hAnsi="宋体" w:cs="宋体" w:hint="eastAsia"/>
          <w:kern w:val="0"/>
          <w:sz w:val="28"/>
          <w:szCs w:val="21"/>
        </w:rPr>
        <w:br/>
        <w:t xml:space="preserve">　　九、国有股拍卖后，买受人持拍卖机构出具的成交证明以及买受人的工商营业执照、公司章程等证明买受人身份性质的法律文件，</w:t>
      </w:r>
      <w:r w:rsidR="00EF266B" w:rsidRPr="00E2139B">
        <w:rPr>
          <w:rFonts w:ascii="仿宋_GB2312" w:eastAsia="仿宋_GB2312" w:hAnsi="宋体" w:cs="宋体" w:hint="eastAsia"/>
          <w:kern w:val="0"/>
          <w:sz w:val="28"/>
          <w:szCs w:val="21"/>
          <w:u w:val="single"/>
        </w:rPr>
        <w:t>按</w:t>
      </w:r>
      <w:r w:rsidR="00EF266B" w:rsidRPr="00506BCD">
        <w:rPr>
          <w:rFonts w:ascii="仿宋_GB2312" w:eastAsia="仿宋_GB2312" w:hAnsi="宋体" w:cs="宋体" w:hint="eastAsia"/>
          <w:b/>
          <w:color w:val="000000" w:themeColor="text1"/>
          <w:kern w:val="0"/>
          <w:sz w:val="28"/>
          <w:szCs w:val="21"/>
          <w:u w:val="single"/>
        </w:rPr>
        <w:t>照《最高人民法院</w:t>
      </w:r>
      <w:hyperlink r:id="rId7" w:tgtFrame="_blank" w:history="1">
        <w:r w:rsidR="00EF266B" w:rsidRPr="00506BCD">
          <w:rPr>
            <w:rFonts w:ascii="仿宋_GB2312" w:eastAsia="仿宋_GB2312" w:hAnsi="宋体" w:cs="宋体" w:hint="eastAsia"/>
            <w:b/>
            <w:color w:val="000000" w:themeColor="text1"/>
            <w:kern w:val="0"/>
            <w:sz w:val="28"/>
            <w:szCs w:val="21"/>
            <w:u w:val="single"/>
          </w:rPr>
          <w:t>关于冻结、拍卖上市公司国有股和社会法人股若干问题的规定</w:t>
        </w:r>
      </w:hyperlink>
      <w:r w:rsidR="00EF266B" w:rsidRPr="00E2139B">
        <w:rPr>
          <w:rFonts w:ascii="仿宋_GB2312" w:eastAsia="仿宋_GB2312" w:hAnsi="宋体" w:cs="宋体" w:hint="eastAsia"/>
          <w:kern w:val="0"/>
          <w:sz w:val="28"/>
          <w:szCs w:val="21"/>
          <w:u w:val="single"/>
        </w:rPr>
        <w:t>》</w:t>
      </w:r>
      <w:r w:rsidR="00EF266B" w:rsidRPr="00EF266B">
        <w:rPr>
          <w:rFonts w:ascii="仿宋_GB2312" w:eastAsia="仿宋_GB2312" w:hAnsi="宋体" w:cs="宋体" w:hint="eastAsia"/>
          <w:kern w:val="0"/>
          <w:sz w:val="28"/>
          <w:szCs w:val="21"/>
        </w:rPr>
        <w:t xml:space="preserve">，向原国有股东授权代表单位主管财政机关提出股权性质界定申请，并经界定后向证券登记结算公司办理股权过户手续。 </w:t>
      </w:r>
      <w:r w:rsidR="00EF266B" w:rsidRPr="00EF266B">
        <w:rPr>
          <w:rFonts w:ascii="仿宋_GB2312" w:eastAsia="仿宋_GB2312" w:hAnsi="宋体" w:cs="宋体" w:hint="eastAsia"/>
          <w:kern w:val="0"/>
          <w:sz w:val="28"/>
          <w:szCs w:val="21"/>
        </w:rPr>
        <w:br/>
        <w:t xml:space="preserve">　　十、国有股东授权代表单位应当切实维护国有股权益，若发现有关当事人或知情人泄露拍卖保留价，或有关当事人与竞买人、债权人恶意串通等违法行为，应当及时请求人民法院中止拍卖，并依法追究有关责任人的责任。 </w:t>
      </w:r>
      <w:r w:rsidR="00EF266B" w:rsidRPr="00EF266B">
        <w:rPr>
          <w:rFonts w:ascii="仿宋_GB2312" w:eastAsia="仿宋_GB2312" w:hAnsi="宋体" w:cs="宋体" w:hint="eastAsia"/>
          <w:kern w:val="0"/>
          <w:sz w:val="28"/>
          <w:szCs w:val="21"/>
        </w:rPr>
        <w:br/>
        <w:t xml:space="preserve">　　若因国有股东授权代表单位过失，使国有股权益遭受损失的，主</w:t>
      </w:r>
      <w:r w:rsidR="00EF266B" w:rsidRPr="00EF266B">
        <w:rPr>
          <w:rFonts w:ascii="仿宋_GB2312" w:eastAsia="仿宋_GB2312" w:hAnsi="宋体" w:cs="宋体" w:hint="eastAsia"/>
          <w:kern w:val="0"/>
          <w:sz w:val="28"/>
          <w:szCs w:val="21"/>
        </w:rPr>
        <w:lastRenderedPageBreak/>
        <w:t xml:space="preserve">管财政机关给予通报批评，并依法追究相关责任。 </w:t>
      </w:r>
      <w:r w:rsidR="00EF266B" w:rsidRPr="00EF266B">
        <w:rPr>
          <w:rFonts w:ascii="仿宋_GB2312" w:eastAsia="仿宋_GB2312" w:hAnsi="宋体" w:cs="宋体" w:hint="eastAsia"/>
          <w:kern w:val="0"/>
          <w:sz w:val="28"/>
          <w:szCs w:val="21"/>
        </w:rPr>
        <w:br/>
        <w:t xml:space="preserve">　　十一、本通知自印发之日起施行。</w:t>
      </w:r>
    </w:p>
    <w:p w:rsidR="00EF266B" w:rsidRPr="00EF266B" w:rsidRDefault="00EF266B" w:rsidP="00E2139B">
      <w:pPr>
        <w:widowControl/>
        <w:jc w:val="right"/>
        <w:rPr>
          <w:rFonts w:ascii="仿宋_GB2312" w:eastAsia="仿宋_GB2312" w:hAnsi="宋体" w:cs="宋体"/>
          <w:kern w:val="0"/>
          <w:sz w:val="28"/>
          <w:szCs w:val="21"/>
        </w:rPr>
      </w:pPr>
      <w:r w:rsidRPr="00EF266B">
        <w:rPr>
          <w:rFonts w:ascii="仿宋_GB2312" w:eastAsia="仿宋_GB2312" w:hAnsi="宋体" w:cs="宋体" w:hint="eastAsia"/>
          <w:kern w:val="0"/>
          <w:sz w:val="28"/>
          <w:szCs w:val="21"/>
        </w:rPr>
        <w:t>财政部</w:t>
      </w:r>
    </w:p>
    <w:p w:rsidR="00EF266B" w:rsidRPr="00EF266B" w:rsidRDefault="00EF266B" w:rsidP="00E2139B">
      <w:pPr>
        <w:widowControl/>
        <w:jc w:val="right"/>
        <w:rPr>
          <w:rFonts w:ascii="仿宋_GB2312" w:eastAsia="仿宋_GB2312" w:hAnsi="宋体" w:cs="宋体"/>
          <w:kern w:val="0"/>
          <w:sz w:val="28"/>
          <w:szCs w:val="21"/>
        </w:rPr>
      </w:pPr>
      <w:r w:rsidRPr="00EF266B">
        <w:rPr>
          <w:rFonts w:ascii="仿宋_GB2312" w:eastAsia="仿宋_GB2312" w:hAnsi="宋体" w:cs="宋体" w:hint="eastAsia"/>
          <w:kern w:val="0"/>
          <w:sz w:val="28"/>
          <w:szCs w:val="21"/>
        </w:rPr>
        <w:t>二</w:t>
      </w:r>
      <w:proofErr w:type="gramStart"/>
      <w:r w:rsidRPr="00EF266B">
        <w:rPr>
          <w:rFonts w:ascii="仿宋_GB2312" w:eastAsia="仿宋_GB2312" w:hAnsi="宋体" w:cs="宋体" w:hint="eastAsia"/>
          <w:kern w:val="0"/>
          <w:sz w:val="28"/>
          <w:szCs w:val="21"/>
        </w:rPr>
        <w:t>００</w:t>
      </w:r>
      <w:proofErr w:type="gramEnd"/>
      <w:r w:rsidRPr="00EF266B">
        <w:rPr>
          <w:rFonts w:ascii="仿宋_GB2312" w:eastAsia="仿宋_GB2312" w:hAnsi="宋体" w:cs="宋体" w:hint="eastAsia"/>
          <w:kern w:val="0"/>
          <w:sz w:val="28"/>
          <w:szCs w:val="21"/>
        </w:rPr>
        <w:t>一年十一月二日</w:t>
      </w:r>
    </w:p>
    <w:p w:rsidR="000C73A5" w:rsidRPr="00EF266B" w:rsidRDefault="000C73A5" w:rsidP="007318F7">
      <w:pPr>
        <w:jc w:val="left"/>
        <w:rPr>
          <w:rFonts w:ascii="仿宋_GB2312" w:eastAsia="仿宋_GB2312"/>
          <w:sz w:val="28"/>
        </w:rPr>
      </w:pPr>
    </w:p>
    <w:sectPr w:rsidR="000C73A5" w:rsidRPr="00EF266B" w:rsidSect="000C73A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63F" w:rsidRDefault="0068263F" w:rsidP="00EF266B">
      <w:r>
        <w:separator/>
      </w:r>
    </w:p>
  </w:endnote>
  <w:endnote w:type="continuationSeparator" w:id="0">
    <w:p w:rsidR="0068263F" w:rsidRDefault="0068263F" w:rsidP="00EF26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52907"/>
      <w:docPartObj>
        <w:docPartGallery w:val="Page Numbers (Bottom of Page)"/>
        <w:docPartUnique/>
      </w:docPartObj>
    </w:sdtPr>
    <w:sdtContent>
      <w:sdt>
        <w:sdtPr>
          <w:id w:val="98381352"/>
          <w:docPartObj>
            <w:docPartGallery w:val="Page Numbers (Top of Page)"/>
            <w:docPartUnique/>
          </w:docPartObj>
        </w:sdtPr>
        <w:sdtContent>
          <w:p w:rsidR="00705A8C" w:rsidRDefault="00705A8C">
            <w:pPr>
              <w:pStyle w:val="a4"/>
            </w:pPr>
            <w:r>
              <w:rPr>
                <w:lang w:val="zh-CN"/>
              </w:rPr>
              <w:t xml:space="preserve"> </w:t>
            </w:r>
            <w:r>
              <w:rPr>
                <w:b/>
                <w:sz w:val="24"/>
                <w:szCs w:val="24"/>
              </w:rPr>
              <w:fldChar w:fldCharType="begin"/>
            </w:r>
            <w:r>
              <w:rPr>
                <w:b/>
              </w:rPr>
              <w:instrText>PAGE</w:instrText>
            </w:r>
            <w:r>
              <w:rPr>
                <w:b/>
                <w:sz w:val="24"/>
                <w:szCs w:val="24"/>
              </w:rPr>
              <w:fldChar w:fldCharType="separate"/>
            </w:r>
            <w:r w:rsidR="00506BCD">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506BCD">
              <w:rPr>
                <w:b/>
                <w:noProof/>
              </w:rPr>
              <w:t>4</w:t>
            </w:r>
            <w:r>
              <w:rPr>
                <w:b/>
                <w:sz w:val="24"/>
                <w:szCs w:val="24"/>
              </w:rPr>
              <w:fldChar w:fldCharType="end"/>
            </w:r>
          </w:p>
        </w:sdtContent>
      </w:sdt>
    </w:sdtContent>
  </w:sdt>
  <w:p w:rsidR="00705A8C" w:rsidRDefault="00705A8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63F" w:rsidRDefault="0068263F" w:rsidP="00EF266B">
      <w:r>
        <w:separator/>
      </w:r>
    </w:p>
  </w:footnote>
  <w:footnote w:type="continuationSeparator" w:id="0">
    <w:p w:rsidR="0068263F" w:rsidRDefault="0068263F" w:rsidP="00EF26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266B"/>
    <w:rsid w:val="000C73A5"/>
    <w:rsid w:val="002245AB"/>
    <w:rsid w:val="00256D5F"/>
    <w:rsid w:val="00385317"/>
    <w:rsid w:val="00506BCD"/>
    <w:rsid w:val="0068263F"/>
    <w:rsid w:val="00705A8C"/>
    <w:rsid w:val="007318F7"/>
    <w:rsid w:val="0078089B"/>
    <w:rsid w:val="00E2139B"/>
    <w:rsid w:val="00EF26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3A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26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266B"/>
    <w:rPr>
      <w:sz w:val="18"/>
      <w:szCs w:val="18"/>
    </w:rPr>
  </w:style>
  <w:style w:type="paragraph" w:styleId="a4">
    <w:name w:val="footer"/>
    <w:basedOn w:val="a"/>
    <w:link w:val="Char0"/>
    <w:uiPriority w:val="99"/>
    <w:unhideWhenUsed/>
    <w:rsid w:val="00EF266B"/>
    <w:pPr>
      <w:tabs>
        <w:tab w:val="center" w:pos="4153"/>
        <w:tab w:val="right" w:pos="8306"/>
      </w:tabs>
      <w:snapToGrid w:val="0"/>
      <w:jc w:val="left"/>
    </w:pPr>
    <w:rPr>
      <w:sz w:val="18"/>
      <w:szCs w:val="18"/>
    </w:rPr>
  </w:style>
  <w:style w:type="character" w:customStyle="1" w:styleId="Char0">
    <w:name w:val="页脚 Char"/>
    <w:basedOn w:val="a0"/>
    <w:link w:val="a4"/>
    <w:uiPriority w:val="99"/>
    <w:rsid w:val="00EF266B"/>
    <w:rPr>
      <w:sz w:val="18"/>
      <w:szCs w:val="18"/>
    </w:rPr>
  </w:style>
  <w:style w:type="character" w:styleId="a5">
    <w:name w:val="Strong"/>
    <w:basedOn w:val="a0"/>
    <w:uiPriority w:val="22"/>
    <w:qFormat/>
    <w:rsid w:val="00EF266B"/>
    <w:rPr>
      <w:b/>
      <w:bCs/>
    </w:rPr>
  </w:style>
</w:styles>
</file>

<file path=word/webSettings.xml><?xml version="1.0" encoding="utf-8"?>
<w:webSettings xmlns:r="http://schemas.openxmlformats.org/officeDocument/2006/relationships" xmlns:w="http://schemas.openxmlformats.org/wordprocessingml/2006/main">
  <w:divs>
    <w:div w:id="1493839691">
      <w:bodyDiv w:val="1"/>
      <w:marLeft w:val="0"/>
      <w:marRight w:val="0"/>
      <w:marTop w:val="0"/>
      <w:marBottom w:val="0"/>
      <w:divBdr>
        <w:top w:val="none" w:sz="0" w:space="0" w:color="auto"/>
        <w:left w:val="none" w:sz="0" w:space="0" w:color="auto"/>
        <w:bottom w:val="none" w:sz="0" w:space="0" w:color="auto"/>
        <w:right w:val="none" w:sz="0" w:space="0" w:color="auto"/>
      </w:divBdr>
      <w:divsChild>
        <w:div w:id="817646059">
          <w:marLeft w:val="0"/>
          <w:marRight w:val="0"/>
          <w:marTop w:val="0"/>
          <w:marBottom w:val="0"/>
          <w:divBdr>
            <w:top w:val="none" w:sz="0" w:space="0" w:color="auto"/>
            <w:left w:val="none" w:sz="0" w:space="0" w:color="auto"/>
            <w:bottom w:val="none" w:sz="0" w:space="0" w:color="auto"/>
            <w:right w:val="none" w:sz="0" w:space="0" w:color="auto"/>
          </w:divBdr>
          <w:divsChild>
            <w:div w:id="1135875999">
              <w:marLeft w:val="0"/>
              <w:marRight w:val="0"/>
              <w:marTop w:val="0"/>
              <w:marBottom w:val="0"/>
              <w:divBdr>
                <w:top w:val="none" w:sz="0" w:space="0" w:color="auto"/>
                <w:left w:val="none" w:sz="0" w:space="0" w:color="auto"/>
                <w:bottom w:val="none" w:sz="0" w:space="0" w:color="auto"/>
                <w:right w:val="none" w:sz="0" w:space="0" w:color="auto"/>
              </w:divBdr>
              <w:divsChild>
                <w:div w:id="172360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210.73.66.144:4601/law?fn=chl191s016.txt&amp;dbt=ch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10.73.66.144:4601/law?fn=chl060s207.txt&amp;dbt=ch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290</Words>
  <Characters>1656</Characters>
  <Application>Microsoft Office Word</Application>
  <DocSecurity>0</DocSecurity>
  <Lines>13</Lines>
  <Paragraphs>3</Paragraphs>
  <ScaleCrop>false</ScaleCrop>
  <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zhuoyue</dc:creator>
  <cp:keywords/>
  <dc:description/>
  <cp:lastModifiedBy>zhuoyue</cp:lastModifiedBy>
  <cp:revision>17</cp:revision>
  <dcterms:created xsi:type="dcterms:W3CDTF">2015-11-29T07:45:00Z</dcterms:created>
  <dcterms:modified xsi:type="dcterms:W3CDTF">2015-11-29T08:52:00Z</dcterms:modified>
</cp:coreProperties>
</file>